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A8673" w14:textId="5BF5F5F4" w:rsidR="00BE304C" w:rsidRDefault="00932B49" w:rsidP="00467FE9">
      <w:pPr>
        <w:pStyle w:val="Heading2"/>
      </w:pPr>
      <w:r>
        <w:rPr>
          <w:noProof/>
        </w:rPr>
        <mc:AlternateContent>
          <mc:Choice Requires="wps">
            <w:drawing>
              <wp:anchor distT="0" distB="0" distL="114300" distR="114300" simplePos="0" relativeHeight="251666432" behindDoc="0" locked="0" layoutInCell="1" allowOverlap="1" wp14:anchorId="05E97227" wp14:editId="330A2B1E">
                <wp:simplePos x="0" y="0"/>
                <wp:positionH relativeFrom="page">
                  <wp:posOffset>-82670</wp:posOffset>
                </wp:positionH>
                <wp:positionV relativeFrom="paragraph">
                  <wp:posOffset>-926261</wp:posOffset>
                </wp:positionV>
                <wp:extent cx="7880949" cy="607084"/>
                <wp:effectExtent l="38100" t="57150" r="44450" b="40640"/>
                <wp:wrapNone/>
                <wp:docPr id="927619788" name="Rectangle 6"/>
                <wp:cNvGraphicFramePr/>
                <a:graphic xmlns:a="http://schemas.openxmlformats.org/drawingml/2006/main">
                  <a:graphicData uri="http://schemas.microsoft.com/office/word/2010/wordprocessingShape">
                    <wps:wsp>
                      <wps:cNvSpPr/>
                      <wps:spPr>
                        <a:xfrm>
                          <a:off x="0" y="0"/>
                          <a:ext cx="7880949" cy="607084"/>
                        </a:xfrm>
                        <a:prstGeom prst="rect">
                          <a:avLst/>
                        </a:prstGeom>
                        <a:solidFill>
                          <a:srgbClr val="A50021"/>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8E33D" id="Rectangle 6" o:spid="_x0000_s1026" style="position:absolute;margin-left:-6.5pt;margin-top:-72.95pt;width:620.55pt;height:47.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" fillcolor="#a50021" stroked="f">
                <w10:wrap anchorx="page"/>
              </v:rect>
            </w:pict>
          </mc:Fallback>
        </mc:AlternateContent>
      </w:r>
    </w:p>
    <w:p w14:paraId="1289944C" w14:textId="7324E3E8" w:rsidR="00286A60" w:rsidRPr="00467FE9" w:rsidRDefault="00E44B25" w:rsidP="00467FE9">
      <w:pPr>
        <w:pStyle w:val="Heading2"/>
        <w:rPr>
          <w:rStyle w:val="IntenseReference"/>
          <w:rFonts w:asciiTheme="minorHAnsi" w:hAnsiTheme="minorHAnsi" w:cs="Biome"/>
        </w:rPr>
      </w:pPr>
      <w:r w:rsidRPr="00467FE9">
        <w:rPr>
          <w:rStyle w:val="IntenseReference"/>
          <w:rFonts w:asciiTheme="minorHAnsi" w:hAnsiTheme="minorHAnsi" w:cs="Biome"/>
        </w:rPr>
        <w:t>Balancing Act - Financial Dynamics and Consumption Patterns in Renewable vs. Fossil Fuel Energy</w:t>
      </w:r>
    </w:p>
    <w:p w14:paraId="53B2AE7B" w14:textId="41AB1B50" w:rsidR="009D206F" w:rsidRPr="00467FE9" w:rsidRDefault="003A42D1" w:rsidP="00467FE9">
      <w:pPr>
        <w:pStyle w:val="Heading2"/>
        <w:rPr>
          <w:rStyle w:val="IntenseReference"/>
          <w:rFonts w:asciiTheme="minorHAnsi" w:hAnsiTheme="minorHAnsi" w:cs="Biome"/>
        </w:rPr>
      </w:pPr>
      <w:r w:rsidRPr="00467FE9">
        <w:rPr>
          <w:rStyle w:val="IntenseReference"/>
          <w:rFonts w:asciiTheme="minorHAnsi" w:hAnsiTheme="minorHAnsi" w:cs="Biome"/>
        </w:rPr>
        <w:t>By</w:t>
      </w:r>
    </w:p>
    <w:p w14:paraId="7D0A8787" w14:textId="3244F46C" w:rsidR="00A44E5D" w:rsidRPr="00EC5956" w:rsidRDefault="00EC5956" w:rsidP="00467FE9">
      <w:pPr>
        <w:pStyle w:val="Heading2"/>
        <w:rPr>
          <w:rStyle w:val="Hyperlink"/>
          <w:rFonts w:asciiTheme="minorHAnsi" w:hAnsiTheme="minorHAnsi" w:cs="Biome"/>
        </w:rPr>
      </w:pPr>
      <w:r>
        <w:rPr>
          <w:rStyle w:val="IntenseReference"/>
          <w:rFonts w:asciiTheme="minorHAnsi" w:hAnsiTheme="minorHAnsi" w:cs="Biome"/>
        </w:rPr>
        <w:fldChar w:fldCharType="begin"/>
      </w:r>
      <w:r>
        <w:rPr>
          <w:rStyle w:val="IntenseReference"/>
          <w:rFonts w:asciiTheme="minorHAnsi" w:hAnsiTheme="minorHAnsi" w:cs="Biome"/>
        </w:rPr>
        <w:instrText>HYPERLINK "Hydrocarbonrg.com"</w:instrText>
      </w:r>
      <w:r>
        <w:rPr>
          <w:rStyle w:val="IntenseReference"/>
          <w:rFonts w:asciiTheme="minorHAnsi" w:hAnsiTheme="minorHAnsi" w:cs="Biome"/>
        </w:rPr>
      </w:r>
      <w:r>
        <w:rPr>
          <w:rStyle w:val="IntenseReference"/>
          <w:rFonts w:asciiTheme="minorHAnsi" w:hAnsiTheme="minorHAnsi" w:cs="Biome"/>
        </w:rPr>
        <w:fldChar w:fldCharType="separate"/>
      </w:r>
      <w:r w:rsidR="003A42D1" w:rsidRPr="00EC5956">
        <w:rPr>
          <w:rStyle w:val="Hyperlink"/>
          <w:rFonts w:asciiTheme="minorHAnsi" w:hAnsiTheme="minorHAnsi" w:cs="Biome"/>
        </w:rPr>
        <w:t>Hydrocarbon Research Group</w:t>
      </w:r>
    </w:p>
    <w:p w14:paraId="11D0E584" w14:textId="759308A1" w:rsidR="00A44E5D" w:rsidRPr="00932B49" w:rsidRDefault="00EC5956" w:rsidP="0021579C">
      <w:pPr>
        <w:pStyle w:val="NoSpacing"/>
        <w:jc w:val="center"/>
        <w:rPr>
          <w:rStyle w:val="IntenseReference"/>
        </w:rPr>
      </w:pPr>
      <w:r>
        <w:rPr>
          <w:rStyle w:val="IntenseReference"/>
          <w:rFonts w:eastAsiaTheme="majorEastAsia" w:cs="Biome"/>
          <w:sz w:val="32"/>
          <w:szCs w:val="32"/>
        </w:rPr>
        <w:fldChar w:fldCharType="end"/>
      </w:r>
    </w:p>
    <w:p w14:paraId="58DC2E28" w14:textId="77777777" w:rsidR="00A44E5D" w:rsidRDefault="00A44E5D" w:rsidP="0021579C">
      <w:pPr>
        <w:pStyle w:val="NoSpacing"/>
        <w:jc w:val="center"/>
      </w:pPr>
    </w:p>
    <w:p w14:paraId="662692A6" w14:textId="3F48B27B" w:rsidR="00A44E5D" w:rsidRDefault="00467FE9" w:rsidP="0021579C">
      <w:pPr>
        <w:pStyle w:val="NoSpacing"/>
        <w:jc w:val="center"/>
      </w:pPr>
      <w:r>
        <w:rPr>
          <w:rFonts w:ascii="Times New Roman" w:hAnsi="Times New Roman" w:cs="Times New Roman"/>
          <w:b/>
          <w:bCs/>
          <w:noProof/>
          <w:sz w:val="28"/>
          <w:szCs w:val="28"/>
          <w:u w:val="single"/>
        </w:rPr>
        <mc:AlternateContent>
          <mc:Choice Requires="wps">
            <w:drawing>
              <wp:anchor distT="0" distB="0" distL="114300" distR="114300" simplePos="0" relativeHeight="251685888" behindDoc="0" locked="0" layoutInCell="1" allowOverlap="1" wp14:anchorId="08714862" wp14:editId="40E0108E">
                <wp:simplePos x="0" y="0"/>
                <wp:positionH relativeFrom="page">
                  <wp:posOffset>-30468</wp:posOffset>
                </wp:positionH>
                <wp:positionV relativeFrom="paragraph">
                  <wp:posOffset>6515903</wp:posOffset>
                </wp:positionV>
                <wp:extent cx="7932108" cy="607084"/>
                <wp:effectExtent l="38100" t="57150" r="50165" b="40640"/>
                <wp:wrapNone/>
                <wp:docPr id="645245202" name="Rectangle 6"/>
                <wp:cNvGraphicFramePr/>
                <a:graphic xmlns:a="http://schemas.openxmlformats.org/drawingml/2006/main">
                  <a:graphicData uri="http://schemas.microsoft.com/office/word/2010/wordprocessingShape">
                    <wps:wsp>
                      <wps:cNvSpPr/>
                      <wps:spPr>
                        <a:xfrm>
                          <a:off x="0" y="0"/>
                          <a:ext cx="7932108" cy="607084"/>
                        </a:xfrm>
                        <a:prstGeom prst="rect">
                          <a:avLst/>
                        </a:prstGeom>
                        <a:solidFill>
                          <a:schemeClr val="tx1">
                            <a:lumMod val="75000"/>
                            <a:lumOff val="25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0AF65" id="Rectangle 6" o:spid="_x0000_s1026" style="position:absolute;margin-left:-2.4pt;margin-top:513.05pt;width:624.6pt;height:47.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" fillcolor="#404040 [2429]" stroked="f">
                <w10:wrap anchorx="page"/>
              </v:rect>
            </w:pict>
          </mc:Fallback>
        </mc:AlternateContent>
      </w:r>
      <w:r w:rsidR="007E37E6">
        <w:rPr>
          <w:noProof/>
        </w:rPr>
        <w:drawing>
          <wp:inline distT="0" distB="0" distL="0" distR="0" wp14:anchorId="619F01C5" wp14:editId="68F21698">
            <wp:extent cx="5099050" cy="4214004"/>
            <wp:effectExtent l="228600" t="228600" r="234950" b="224790"/>
            <wp:docPr id="1849075219" name="Picture 4" descr="A chess board with a picture of oil rig and a picture of a pump j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75219" name="Picture 4" descr="A chess board with a picture of oil rig and a picture of a pump ja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71238" cy="427366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3943711" w14:textId="128B8EE4" w:rsidR="0022366F" w:rsidRDefault="0022366F" w:rsidP="0021579C">
      <w:pPr>
        <w:pStyle w:val="NoSpacing"/>
        <w:jc w:val="center"/>
      </w:pPr>
    </w:p>
    <w:p w14:paraId="4301FB9F" w14:textId="0EF574C2" w:rsidR="007916F4" w:rsidRDefault="00D720EB" w:rsidP="0022366F">
      <w:pPr>
        <w:pStyle w:val="NoSpacing"/>
      </w:pPr>
      <w:r>
        <w:rPr>
          <w:noProof/>
        </w:rPr>
        <w:lastRenderedPageBreak/>
        <mc:AlternateContent>
          <mc:Choice Requires="wps">
            <w:drawing>
              <wp:anchor distT="0" distB="0" distL="114300" distR="114300" simplePos="0" relativeHeight="251667456" behindDoc="0" locked="0" layoutInCell="1" allowOverlap="1" wp14:anchorId="5F414615" wp14:editId="798CE53B">
                <wp:simplePos x="0" y="0"/>
                <wp:positionH relativeFrom="page">
                  <wp:align>right</wp:align>
                </wp:positionH>
                <wp:positionV relativeFrom="paragraph">
                  <wp:posOffset>-821570</wp:posOffset>
                </wp:positionV>
                <wp:extent cx="7755147" cy="69011"/>
                <wp:effectExtent l="0" t="0" r="17780" b="26670"/>
                <wp:wrapNone/>
                <wp:docPr id="1221107315" name="Rectangle 7"/>
                <wp:cNvGraphicFramePr/>
                <a:graphic xmlns:a="http://schemas.openxmlformats.org/drawingml/2006/main">
                  <a:graphicData uri="http://schemas.microsoft.com/office/word/2010/wordprocessingShape">
                    <wps:wsp>
                      <wps:cNvSpPr/>
                      <wps:spPr>
                        <a:xfrm>
                          <a:off x="0" y="0"/>
                          <a:ext cx="7755147" cy="69011"/>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16897" id="Rectangle 7" o:spid="_x0000_s1026" style="position:absolute;margin-left:559.45pt;margin-top:-64.7pt;width:610.65pt;height:5.4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" fillcolor="#a50021" strokecolor="#030e13 [484]" strokeweight="1pt">
                <w10:wrap anchorx="page"/>
              </v:rect>
            </w:pict>
          </mc:Fallback>
        </mc:AlternateContent>
      </w:r>
      <w:r w:rsidR="0021579C">
        <w:rPr>
          <w:noProof/>
        </w:rPr>
        <mc:AlternateContent>
          <mc:Choice Requires="wps">
            <w:drawing>
              <wp:inline distT="0" distB="0" distL="0" distR="0" wp14:anchorId="7837B8E3" wp14:editId="328948B0">
                <wp:extent cx="301625" cy="301625"/>
                <wp:effectExtent l="0" t="0" r="0" b="0"/>
                <wp:docPr id="2042262612" name="AutoShape 37" descr="A realistic image of a pumpjack next to wind turbines in a field during sunset. The sky is filled with warm hues of orange, pink, and purple as the sun sets on the horizon. The pumpjack and wind turbines stand tall amidst green fields, blending the traditional oil extraction machinery with modern renewable energy technology. The scene represents a harmonious blend of old and new energy sour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532E7A" id="AutoShape 37" o:spid="_x0000_s1026" alt="A realistic image of a pumpjack next to wind turbines in a field during sunset. The sky is filled with warm hues of orange, pink, and purple as the sun sets on the horizon. The pumpjack and wind turbines stand tall amidst green fields, blending the traditional oil extraction machinery with modern renewable energy technology. The scene represents a harmonious blend of old and new energy source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D84D4B" w:rsidRPr="00D84D4B">
        <w:t xml:space="preserve"> </w:t>
      </w:r>
      <w:r w:rsidR="0021579C">
        <w:rPr>
          <w:noProof/>
        </w:rPr>
        <mc:AlternateContent>
          <mc:Choice Requires="wps">
            <w:drawing>
              <wp:inline distT="0" distB="0" distL="0" distR="0" wp14:anchorId="3FE9184F" wp14:editId="7F397706">
                <wp:extent cx="301625" cy="301625"/>
                <wp:effectExtent l="0" t="0" r="0" b="0"/>
                <wp:docPr id="30969656" name="AutoShape 38" descr="A realistic image of a pumpjack next to wind turbines in a field during sunset. The sky is filled with warm hues of orange, pink, and purple as the sun sets on the horizon. The pumpjack and wind turbines stand tall amidst green fields, blending the traditional oil extraction machinery with modern renewable energy technology. The scene represents a harmonious blend of old and new energy sour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10574" id="AutoShape 38" o:spid="_x0000_s1026" alt="A realistic image of a pumpjack next to wind turbines in a field during sunset. The sky is filled with warm hues of orange, pink, and purple as the sun sets on the horizon. The pumpjack and wind turbines stand tall amidst green fields, blending the traditional oil extraction machinery with modern renewable energy technology. The scene represents a harmonious blend of old and new energy source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00D84D4B" w:rsidRPr="00D84D4B">
        <w:rPr>
          <w:noProof/>
        </w:rPr>
        <w:t xml:space="preserve"> </w:t>
      </w:r>
      <w:r w:rsidR="004B7B7B" w:rsidRPr="004B7B7B">
        <w:rPr>
          <w:noProof/>
        </w:rPr>
        <w:drawing>
          <wp:inline distT="0" distB="0" distL="0" distR="0" wp14:anchorId="384F7043" wp14:editId="767F9C12">
            <wp:extent cx="5943600" cy="4106174"/>
            <wp:effectExtent l="152400" t="152400" r="228600" b="237490"/>
            <wp:docPr id="1481575587" name="Picture 1" descr="Windmill windmills and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75587" name="Picture 1" descr="Windmill windmills and a tower&#10;&#10;Description automatically generated"/>
                    <pic:cNvPicPr/>
                  </pic:nvPicPr>
                  <pic:blipFill>
                    <a:blip r:embed="rId9"/>
                    <a:stretch>
                      <a:fillRect/>
                    </a:stretch>
                  </pic:blipFill>
                  <pic:spPr>
                    <a:xfrm>
                      <a:off x="0" y="0"/>
                      <a:ext cx="5947957" cy="410918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94315F6" w14:textId="77777777" w:rsidR="0021579C" w:rsidRDefault="0021579C" w:rsidP="0021579C">
      <w:pPr>
        <w:pStyle w:val="NoSpacing"/>
        <w:jc w:val="center"/>
        <w:rPr>
          <w:noProof/>
        </w:rPr>
      </w:pPr>
    </w:p>
    <w:p w14:paraId="618F5C8C" w14:textId="77777777" w:rsidR="0021579C" w:rsidRDefault="0021579C" w:rsidP="0021579C">
      <w:pPr>
        <w:pStyle w:val="NoSpacing"/>
        <w:jc w:val="center"/>
        <w:rPr>
          <w:noProof/>
        </w:rPr>
      </w:pPr>
    </w:p>
    <w:p w14:paraId="426EE131" w14:textId="6DD7E892" w:rsidR="007916F4" w:rsidRPr="0075734D" w:rsidRDefault="0075734D" w:rsidP="0075734D">
      <w:pPr>
        <w:pStyle w:val="NoSpacing"/>
        <w:rPr>
          <w:rFonts w:ascii="Times New Roman" w:hAnsi="Times New Roman" w:cs="Times New Roman"/>
          <w:b/>
          <w:bCs/>
          <w:noProof/>
          <w:sz w:val="24"/>
          <w:szCs w:val="24"/>
          <w:u w:val="single"/>
        </w:rPr>
      </w:pPr>
      <w:r w:rsidRPr="0075734D">
        <w:rPr>
          <w:rFonts w:ascii="Times New Roman" w:hAnsi="Times New Roman" w:cs="Times New Roman"/>
          <w:b/>
          <w:bCs/>
          <w:noProof/>
          <w:sz w:val="24"/>
          <w:szCs w:val="24"/>
          <w:u w:val="single"/>
        </w:rPr>
        <w:t>Summary</w:t>
      </w:r>
    </w:p>
    <w:p w14:paraId="70EC0120" w14:textId="77777777" w:rsidR="0075734D" w:rsidRPr="0075734D" w:rsidRDefault="0075734D" w:rsidP="0075734D">
      <w:pPr>
        <w:pStyle w:val="NoSpacing"/>
        <w:rPr>
          <w:rFonts w:ascii="Times New Roman" w:hAnsi="Times New Roman" w:cs="Times New Roman"/>
          <w:b/>
          <w:bCs/>
          <w:noProof/>
          <w:sz w:val="24"/>
          <w:szCs w:val="24"/>
          <w:u w:val="single"/>
        </w:rPr>
      </w:pPr>
    </w:p>
    <w:p w14:paraId="380BD324" w14:textId="5A1D662D" w:rsidR="0075734D" w:rsidRPr="0075734D" w:rsidRDefault="0075734D" w:rsidP="0075734D">
      <w:pPr>
        <w:pStyle w:val="NoSpacing"/>
        <w:rPr>
          <w:rFonts w:ascii="Times New Roman" w:hAnsi="Times New Roman" w:cs="Times New Roman"/>
          <w:noProof/>
          <w:sz w:val="24"/>
          <w:szCs w:val="24"/>
        </w:rPr>
      </w:pPr>
      <w:r w:rsidRPr="0075734D">
        <w:rPr>
          <w:rFonts w:ascii="Times New Roman" w:hAnsi="Times New Roman" w:cs="Times New Roman"/>
          <w:noProof/>
          <w:sz w:val="24"/>
          <w:szCs w:val="24"/>
        </w:rPr>
        <w:t>This report provides a detailed analysis of the different dynamics between renewable energy and fossil fuels among the major economies in the East and West regions of the world. It highlights trends, patterns, and projections of energy consumption and goals for both regions. The report also covers market dynamics by examining the differences in investment patterns between renewable and fossil fuel energy sectors. Additionally, it includes a composite overview of how four of the biggest companies in each energy sector allocate their spending and generate earnings, offering a micro comparison of financial strategies and operational focus. This analysis aims to provide insights into the evolving energy landscape and the implications for future sustainability and growth.</w:t>
      </w:r>
    </w:p>
    <w:p w14:paraId="68F599EF" w14:textId="77777777" w:rsidR="004B7B7B" w:rsidRDefault="004B7B7B" w:rsidP="007916F4">
      <w:pPr>
        <w:pStyle w:val="NoSpacing"/>
        <w:rPr>
          <w:rFonts w:ascii="Times New Roman" w:hAnsi="Times New Roman" w:cs="Times New Roman"/>
          <w:noProof/>
        </w:rPr>
      </w:pPr>
    </w:p>
    <w:p w14:paraId="5F9DC634" w14:textId="77777777" w:rsidR="009D206F" w:rsidRDefault="009D206F" w:rsidP="007916F4">
      <w:pPr>
        <w:pStyle w:val="NoSpacing"/>
        <w:rPr>
          <w:rFonts w:ascii="Times New Roman" w:hAnsi="Times New Roman" w:cs="Times New Roman"/>
          <w:b/>
          <w:bCs/>
          <w:noProof/>
          <w:sz w:val="28"/>
          <w:szCs w:val="28"/>
          <w:u w:val="single"/>
        </w:rPr>
      </w:pPr>
    </w:p>
    <w:p w14:paraId="18CB780F" w14:textId="77777777" w:rsidR="004B7B7B" w:rsidRDefault="004B7B7B" w:rsidP="007916F4">
      <w:pPr>
        <w:pStyle w:val="NoSpacing"/>
        <w:rPr>
          <w:rFonts w:ascii="Times New Roman" w:hAnsi="Times New Roman" w:cs="Times New Roman"/>
          <w:b/>
          <w:bCs/>
          <w:noProof/>
          <w:sz w:val="28"/>
          <w:szCs w:val="28"/>
          <w:u w:val="single"/>
        </w:rPr>
      </w:pPr>
    </w:p>
    <w:p w14:paraId="522AEEA1" w14:textId="77777777" w:rsidR="00F3573E" w:rsidRDefault="00F3573E" w:rsidP="007916F4">
      <w:pPr>
        <w:pStyle w:val="NoSpacing"/>
        <w:rPr>
          <w:rFonts w:ascii="Times New Roman" w:hAnsi="Times New Roman" w:cs="Times New Roman"/>
          <w:b/>
          <w:bCs/>
          <w:noProof/>
          <w:sz w:val="28"/>
          <w:szCs w:val="28"/>
          <w:u w:val="single"/>
        </w:rPr>
      </w:pPr>
    </w:p>
    <w:p w14:paraId="3DC124A9" w14:textId="77777777" w:rsidR="00F3573E" w:rsidRDefault="00F3573E" w:rsidP="007916F4">
      <w:pPr>
        <w:pStyle w:val="NoSpacing"/>
        <w:rPr>
          <w:rFonts w:ascii="Times New Roman" w:hAnsi="Times New Roman" w:cs="Times New Roman"/>
          <w:b/>
          <w:bCs/>
          <w:noProof/>
          <w:sz w:val="28"/>
          <w:szCs w:val="28"/>
          <w:u w:val="single"/>
        </w:rPr>
      </w:pPr>
    </w:p>
    <w:p w14:paraId="37B5E462" w14:textId="624CC0A2" w:rsidR="00F3573E" w:rsidRDefault="00F3573E" w:rsidP="007916F4">
      <w:pPr>
        <w:pStyle w:val="NoSpacing"/>
        <w:rPr>
          <w:rFonts w:ascii="Times New Roman" w:hAnsi="Times New Roman" w:cs="Times New Roman"/>
          <w:b/>
          <w:bCs/>
          <w:noProof/>
          <w:sz w:val="28"/>
          <w:szCs w:val="28"/>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686912" behindDoc="0" locked="0" layoutInCell="1" allowOverlap="1" wp14:anchorId="5067E2F6" wp14:editId="1C32888E">
                <wp:simplePos x="0" y="0"/>
                <wp:positionH relativeFrom="page">
                  <wp:align>left</wp:align>
                </wp:positionH>
                <wp:positionV relativeFrom="paragraph">
                  <wp:posOffset>961702</wp:posOffset>
                </wp:positionV>
                <wp:extent cx="7771561" cy="85569"/>
                <wp:effectExtent l="0" t="0" r="20320" b="10160"/>
                <wp:wrapNone/>
                <wp:docPr id="448638287" name="Rectangle: Diagonal Corners Rounded 8"/>
                <wp:cNvGraphicFramePr/>
                <a:graphic xmlns:a="http://schemas.openxmlformats.org/drawingml/2006/main">
                  <a:graphicData uri="http://schemas.microsoft.com/office/word/2010/wordprocessingShape">
                    <wps:wsp>
                      <wps:cNvSpPr/>
                      <wps:spPr>
                        <a:xfrm>
                          <a:off x="0" y="0"/>
                          <a:ext cx="7771561" cy="85569"/>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EDB8" id="Rectangle: Diagonal Corners Rounded 8" o:spid="_x0000_s1026" style="position:absolute;margin-left:0;margin-top:75.7pt;width:611.95pt;height:6.7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771561,8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" path="m14262,l7771561,r,l7771561,71307v,7877,-6385,14262,-14262,14262l,85569r,l,14262c,6385,6385,,14262,xe" fillcolor="#404040 [2429]" strokecolor="#030e13 [484]" strokeweight="1pt">
                <v:stroke joinstyle="miter"/>
                <v:path arrowok="t" o:connecttype="custom" o:connectlocs="14262,0;7771561,0;7771561,0;7771561,71307;7757299,85569;0,85569;0,85569;0,14262;14262,0" o:connectangles="0,0,0,0,0,0,0,0,0"/>
                <w10:wrap anchorx="page"/>
              </v:shape>
            </w:pict>
          </mc:Fallback>
        </mc:AlternateContent>
      </w:r>
    </w:p>
    <w:p w14:paraId="7F5678B0" w14:textId="7529DE94" w:rsidR="007916F4" w:rsidRDefault="00F3573E" w:rsidP="007916F4">
      <w:pPr>
        <w:pStyle w:val="NoSpacing"/>
        <w:rPr>
          <w:rFonts w:ascii="Times New Roman" w:hAnsi="Times New Roman" w:cs="Times New Roman"/>
          <w:b/>
          <w:bCs/>
          <w:noProof/>
          <w:sz w:val="28"/>
          <w:szCs w:val="28"/>
          <w:u w:val="single"/>
        </w:rPr>
      </w:pPr>
      <w:r>
        <w:rPr>
          <w:noProof/>
        </w:rPr>
        <w:lastRenderedPageBreak/>
        <mc:AlternateContent>
          <mc:Choice Requires="wps">
            <w:drawing>
              <wp:anchor distT="0" distB="0" distL="114300" distR="114300" simplePos="0" relativeHeight="251669504" behindDoc="0" locked="0" layoutInCell="1" allowOverlap="1" wp14:anchorId="1968F7C3" wp14:editId="116DF5EA">
                <wp:simplePos x="0" y="0"/>
                <wp:positionH relativeFrom="page">
                  <wp:posOffset>-59690</wp:posOffset>
                </wp:positionH>
                <wp:positionV relativeFrom="paragraph">
                  <wp:posOffset>-843496</wp:posOffset>
                </wp:positionV>
                <wp:extent cx="7755148" cy="77637"/>
                <wp:effectExtent l="0" t="0" r="17780" b="17780"/>
                <wp:wrapNone/>
                <wp:docPr id="1108159382" name="Rectangle 7"/>
                <wp:cNvGraphicFramePr/>
                <a:graphic xmlns:a="http://schemas.openxmlformats.org/drawingml/2006/main">
                  <a:graphicData uri="http://schemas.microsoft.com/office/word/2010/wordprocessingShape">
                    <wps:wsp>
                      <wps:cNvSpPr/>
                      <wps:spPr>
                        <a:xfrm>
                          <a:off x="0" y="0"/>
                          <a:ext cx="7755148" cy="77637"/>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EF6B5" id="Rectangle 7" o:spid="_x0000_s1026" style="position:absolute;margin-left:-4.7pt;margin-top:-66.4pt;width:610.65pt;height:6.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" fillcolor="#a50021" strokecolor="#030e13 [484]" strokeweight="1pt">
                <w10:wrap anchorx="page"/>
              </v:rect>
            </w:pict>
          </mc:Fallback>
        </mc:AlternateContent>
      </w:r>
      <w:r w:rsidR="007916F4" w:rsidRPr="007916F4">
        <w:rPr>
          <w:rFonts w:ascii="Times New Roman" w:hAnsi="Times New Roman" w:cs="Times New Roman"/>
          <w:b/>
          <w:bCs/>
          <w:noProof/>
          <w:sz w:val="28"/>
          <w:szCs w:val="28"/>
          <w:u w:val="single"/>
        </w:rPr>
        <w:t xml:space="preserve">West Energy Consumption Comparion </w:t>
      </w:r>
    </w:p>
    <w:p w14:paraId="6CBEB1F6" w14:textId="3E3D274A" w:rsidR="0022366F" w:rsidRPr="007916F4" w:rsidRDefault="0022366F" w:rsidP="007916F4">
      <w:pPr>
        <w:pStyle w:val="NoSpacing"/>
        <w:rPr>
          <w:rFonts w:ascii="Times New Roman" w:hAnsi="Times New Roman" w:cs="Times New Roman"/>
          <w:b/>
          <w:bCs/>
          <w:sz w:val="28"/>
          <w:szCs w:val="28"/>
          <w:u w:val="single"/>
        </w:rPr>
      </w:pPr>
    </w:p>
    <w:p w14:paraId="295064F6" w14:textId="4263DD59" w:rsidR="009B7A32" w:rsidRDefault="009B7A32" w:rsidP="009B7A32">
      <w:pPr>
        <w:pStyle w:val="NormalWeb"/>
      </w:pPr>
      <w:r>
        <w:rPr>
          <w:noProof/>
        </w:rPr>
        <w:drawing>
          <wp:inline distT="0" distB="0" distL="0" distR="0" wp14:anchorId="13D68F9E" wp14:editId="006CE261">
            <wp:extent cx="5943600" cy="4047490"/>
            <wp:effectExtent l="95250" t="95250" r="76200" b="67310"/>
            <wp:docPr id="758156604" name="Picture 16"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56604" name="Picture 16" descr="A graph of different colored line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474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18E436E" w14:textId="35DF75CA" w:rsidR="009B7A32" w:rsidRPr="006650A6" w:rsidRDefault="009B7A32" w:rsidP="00754CB0">
      <w:pPr>
        <w:pStyle w:val="NoSpacing"/>
        <w:numPr>
          <w:ilvl w:val="0"/>
          <w:numId w:val="28"/>
        </w:numPr>
        <w:rPr>
          <w:rFonts w:ascii="Times New Roman" w:hAnsi="Times New Roman" w:cs="Times New Roman"/>
          <w:b/>
          <w:bCs/>
          <w:sz w:val="18"/>
          <w:szCs w:val="18"/>
        </w:rPr>
      </w:pPr>
      <w:r w:rsidRPr="006650A6">
        <w:rPr>
          <w:rFonts w:ascii="Times New Roman" w:hAnsi="Times New Roman" w:cs="Times New Roman"/>
          <w:b/>
          <w:bCs/>
          <w:sz w:val="18"/>
          <w:szCs w:val="18"/>
        </w:rPr>
        <w:t>Data</w:t>
      </w:r>
      <w:r w:rsidRPr="006650A6">
        <w:rPr>
          <w:rFonts w:ascii="Times New Roman" w:hAnsi="Times New Roman" w:cs="Times New Roman"/>
          <w:sz w:val="18"/>
          <w:szCs w:val="18"/>
        </w:rPr>
        <w:t xml:space="preserve"> - sourced from </w:t>
      </w:r>
      <w:hyperlink r:id="rId11" w:history="1">
        <w:r w:rsidRPr="006650A6">
          <w:rPr>
            <w:rStyle w:val="Hyperlink"/>
            <w:rFonts w:ascii="Times New Roman" w:hAnsi="Times New Roman" w:cs="Times New Roman"/>
            <w:sz w:val="18"/>
            <w:szCs w:val="18"/>
          </w:rPr>
          <w:t>Ourworldindata</w:t>
        </w:r>
      </w:hyperlink>
    </w:p>
    <w:p w14:paraId="0ED0F706" w14:textId="2BAF17DE" w:rsidR="009B7A32" w:rsidRPr="006650A6" w:rsidRDefault="009B7A32" w:rsidP="00754CB0">
      <w:pPr>
        <w:pStyle w:val="NoSpacing"/>
        <w:numPr>
          <w:ilvl w:val="0"/>
          <w:numId w:val="28"/>
        </w:numPr>
        <w:rPr>
          <w:rFonts w:ascii="Times New Roman" w:hAnsi="Times New Roman" w:cs="Times New Roman"/>
          <w:b/>
          <w:bCs/>
          <w:sz w:val="18"/>
          <w:szCs w:val="18"/>
        </w:rPr>
      </w:pPr>
      <w:r w:rsidRPr="006650A6">
        <w:rPr>
          <w:rFonts w:ascii="Times New Roman" w:hAnsi="Times New Roman" w:cs="Times New Roman"/>
          <w:b/>
          <w:bCs/>
          <w:sz w:val="18"/>
          <w:szCs w:val="18"/>
        </w:rPr>
        <w:t xml:space="preserve">Forecasting – </w:t>
      </w:r>
      <w:r w:rsidRPr="006650A6">
        <w:rPr>
          <w:rFonts w:ascii="Times New Roman" w:hAnsi="Times New Roman" w:cs="Times New Roman"/>
          <w:sz w:val="18"/>
          <w:szCs w:val="18"/>
        </w:rPr>
        <w:t xml:space="preserve">All regions and categories were forecasted from 2023 to 2027. Point (middle) forecast projections were used for all categories and regions. </w:t>
      </w:r>
    </w:p>
    <w:p w14:paraId="3DD9FAA1" w14:textId="77777777" w:rsidR="009B7A32" w:rsidRPr="006650A6" w:rsidRDefault="009B7A32" w:rsidP="00754CB0">
      <w:pPr>
        <w:pStyle w:val="NoSpacing"/>
        <w:numPr>
          <w:ilvl w:val="0"/>
          <w:numId w:val="28"/>
        </w:numPr>
        <w:rPr>
          <w:rFonts w:ascii="Times New Roman" w:hAnsi="Times New Roman" w:cs="Times New Roman"/>
          <w:b/>
          <w:bCs/>
          <w:sz w:val="18"/>
          <w:szCs w:val="18"/>
        </w:rPr>
      </w:pPr>
      <w:r w:rsidRPr="006650A6">
        <w:rPr>
          <w:rFonts w:ascii="Times New Roman" w:hAnsi="Times New Roman" w:cs="Times New Roman"/>
          <w:b/>
          <w:bCs/>
          <w:sz w:val="18"/>
          <w:szCs w:val="18"/>
        </w:rPr>
        <w:t xml:space="preserve">Primary Energy </w:t>
      </w:r>
      <w:r w:rsidRPr="006650A6">
        <w:rPr>
          <w:rFonts w:ascii="Times New Roman" w:hAnsi="Times New Roman" w:cs="Times New Roman"/>
          <w:sz w:val="18"/>
          <w:szCs w:val="18"/>
        </w:rPr>
        <w:t xml:space="preserve">Primary energy consists of raw fuels such as coal, crude oil, natural gas, uranium, and other resources directly extracted from the environment. For this chart we separated any renewables from coal, natural gas and crude. </w:t>
      </w:r>
    </w:p>
    <w:p w14:paraId="6E70D29E" w14:textId="77777777" w:rsidR="009B7A32" w:rsidRPr="006650A6" w:rsidRDefault="009B7A32" w:rsidP="00754CB0">
      <w:pPr>
        <w:pStyle w:val="NoSpacing"/>
        <w:numPr>
          <w:ilvl w:val="0"/>
          <w:numId w:val="28"/>
        </w:numPr>
        <w:rPr>
          <w:rFonts w:ascii="Times New Roman" w:hAnsi="Times New Roman" w:cs="Times New Roman"/>
          <w:b/>
          <w:bCs/>
          <w:sz w:val="18"/>
          <w:szCs w:val="18"/>
        </w:rPr>
      </w:pPr>
      <w:r w:rsidRPr="006650A6">
        <w:rPr>
          <w:rFonts w:ascii="Times New Roman" w:hAnsi="Times New Roman" w:cs="Times New Roman"/>
          <w:b/>
          <w:bCs/>
          <w:sz w:val="18"/>
          <w:szCs w:val="18"/>
        </w:rPr>
        <w:t xml:space="preserve">GDP Per Capita </w:t>
      </w:r>
      <w:r w:rsidRPr="006650A6">
        <w:rPr>
          <w:rFonts w:ascii="Times New Roman" w:hAnsi="Times New Roman" w:cs="Times New Roman"/>
          <w:sz w:val="18"/>
          <w:szCs w:val="18"/>
        </w:rPr>
        <w:t>GDP per capita is calculated by dividing a country's total gross domestic product (GDP) by its population.</w:t>
      </w:r>
    </w:p>
    <w:p w14:paraId="794CF952" w14:textId="77777777" w:rsidR="009B7A32" w:rsidRPr="006650A6" w:rsidRDefault="009B7A32" w:rsidP="00754CB0">
      <w:pPr>
        <w:pStyle w:val="NoSpacing"/>
        <w:numPr>
          <w:ilvl w:val="0"/>
          <w:numId w:val="28"/>
        </w:numPr>
        <w:rPr>
          <w:rFonts w:ascii="Times New Roman" w:hAnsi="Times New Roman" w:cs="Times New Roman"/>
          <w:b/>
          <w:bCs/>
          <w:sz w:val="18"/>
          <w:szCs w:val="18"/>
        </w:rPr>
      </w:pPr>
      <w:r w:rsidRPr="006650A6">
        <w:rPr>
          <w:rFonts w:ascii="Times New Roman" w:hAnsi="Times New Roman" w:cs="Times New Roman"/>
          <w:b/>
          <w:bCs/>
          <w:sz w:val="18"/>
          <w:szCs w:val="18"/>
        </w:rPr>
        <w:t xml:space="preserve">Renewables </w:t>
      </w:r>
      <w:r w:rsidRPr="006650A6">
        <w:rPr>
          <w:rFonts w:ascii="Times New Roman" w:hAnsi="Times New Roman" w:cs="Times New Roman"/>
          <w:sz w:val="18"/>
          <w:szCs w:val="18"/>
        </w:rPr>
        <w:t>In this data, renewables include hydroelectric power, solar, wind, and nuclear energy sources for each country.</w:t>
      </w:r>
    </w:p>
    <w:p w14:paraId="094D6A2D" w14:textId="77777777" w:rsidR="009B7A32" w:rsidRDefault="009B7A32" w:rsidP="009B7A32">
      <w:pPr>
        <w:pStyle w:val="NoSpacing"/>
        <w:rPr>
          <w:rFonts w:ascii="Times New Roman" w:hAnsi="Times New Roman" w:cs="Times New Roman"/>
          <w:b/>
          <w:bCs/>
          <w:sz w:val="22"/>
          <w:szCs w:val="22"/>
        </w:rPr>
      </w:pPr>
    </w:p>
    <w:p w14:paraId="60B6242F" w14:textId="63831537" w:rsidR="009B7A32" w:rsidRPr="00522929" w:rsidRDefault="00522929" w:rsidP="009B7A32">
      <w:pPr>
        <w:pStyle w:val="NoSpacing"/>
        <w:rPr>
          <w:rFonts w:ascii="Times New Roman" w:hAnsi="Times New Roman" w:cs="Times New Roman"/>
          <w:b/>
          <w:bCs/>
          <w:sz w:val="24"/>
          <w:szCs w:val="24"/>
          <w:u w:val="single"/>
        </w:rPr>
      </w:pPr>
      <w:r w:rsidRPr="00522929">
        <w:rPr>
          <w:rFonts w:ascii="Times New Roman" w:hAnsi="Times New Roman" w:cs="Times New Roman"/>
          <w:b/>
          <w:bCs/>
          <w:sz w:val="24"/>
          <w:szCs w:val="24"/>
          <w:u w:val="single"/>
        </w:rPr>
        <w:t xml:space="preserve">Patterns and Insights </w:t>
      </w:r>
    </w:p>
    <w:p w14:paraId="35C7677D" w14:textId="77777777" w:rsidR="009B7A32" w:rsidRPr="00522929" w:rsidRDefault="009B7A32" w:rsidP="009B7A32">
      <w:pPr>
        <w:pStyle w:val="NoSpacing"/>
        <w:ind w:left="1800"/>
        <w:rPr>
          <w:rFonts w:ascii="Times New Roman" w:hAnsi="Times New Roman" w:cs="Times New Roman"/>
          <w:b/>
          <w:bCs/>
          <w:sz w:val="24"/>
          <w:szCs w:val="24"/>
        </w:rPr>
      </w:pPr>
    </w:p>
    <w:p w14:paraId="026F67FA" w14:textId="7D68F421" w:rsidR="00D536F7" w:rsidRDefault="00754CB0" w:rsidP="00754CB0">
      <w:pPr>
        <w:pStyle w:val="NoSpacing"/>
        <w:rPr>
          <w:rFonts w:ascii="Times New Roman" w:hAnsi="Times New Roman" w:cs="Times New Roman"/>
          <w:sz w:val="22"/>
          <w:szCs w:val="22"/>
        </w:rPr>
      </w:pPr>
      <w:r w:rsidRPr="00754CB0">
        <w:rPr>
          <w:rFonts w:ascii="Times New Roman" w:hAnsi="Times New Roman" w:cs="Times New Roman"/>
          <w:sz w:val="22"/>
          <w:szCs w:val="22"/>
        </w:rPr>
        <w:t xml:space="preserve">All four regions in the West show continued growth in GDP per capita, with the United States leading the way. Three regions have made </w:t>
      </w:r>
      <w:r w:rsidR="00D536F7">
        <w:rPr>
          <w:rFonts w:ascii="Times New Roman" w:hAnsi="Times New Roman" w:cs="Times New Roman"/>
          <w:sz w:val="22"/>
          <w:szCs w:val="22"/>
        </w:rPr>
        <w:t>attempts</w:t>
      </w:r>
      <w:r w:rsidRPr="00754CB0">
        <w:rPr>
          <w:rFonts w:ascii="Times New Roman" w:hAnsi="Times New Roman" w:cs="Times New Roman"/>
          <w:sz w:val="22"/>
          <w:szCs w:val="22"/>
        </w:rPr>
        <w:t xml:space="preserve"> to close the gap between primary energy consumption and renewable energy consumption, with the UK outpacing the others. However, to achieve net zero and sustainable energy goals by 203</w:t>
      </w:r>
      <w:r w:rsidR="00D536F7">
        <w:rPr>
          <w:rFonts w:ascii="Times New Roman" w:hAnsi="Times New Roman" w:cs="Times New Roman"/>
          <w:sz w:val="22"/>
          <w:szCs w:val="22"/>
        </w:rPr>
        <w:t>5-2050</w:t>
      </w:r>
      <w:r w:rsidRPr="00754CB0">
        <w:rPr>
          <w:rFonts w:ascii="Times New Roman" w:hAnsi="Times New Roman" w:cs="Times New Roman"/>
          <w:sz w:val="22"/>
          <w:szCs w:val="22"/>
        </w:rPr>
        <w:t>, a significant shift is necessar</w:t>
      </w:r>
      <w:r w:rsidR="00D536F7">
        <w:rPr>
          <w:rFonts w:ascii="Times New Roman" w:hAnsi="Times New Roman" w:cs="Times New Roman"/>
          <w:sz w:val="22"/>
          <w:szCs w:val="22"/>
        </w:rPr>
        <w:t>y.</w:t>
      </w:r>
    </w:p>
    <w:p w14:paraId="5C195F30" w14:textId="77777777" w:rsidR="00D00C4F" w:rsidRPr="00754CB0" w:rsidRDefault="00D00C4F" w:rsidP="00754CB0">
      <w:pPr>
        <w:pStyle w:val="NoSpacing"/>
        <w:rPr>
          <w:rFonts w:ascii="Times New Roman" w:hAnsi="Times New Roman" w:cs="Times New Roman"/>
          <w:sz w:val="22"/>
          <w:szCs w:val="22"/>
        </w:rPr>
      </w:pPr>
    </w:p>
    <w:p w14:paraId="32C77C20" w14:textId="11D5DBD8" w:rsidR="00754CB0" w:rsidRDefault="00754CB0" w:rsidP="00754CB0">
      <w:pPr>
        <w:pStyle w:val="NoSpacing"/>
        <w:rPr>
          <w:rFonts w:ascii="Times New Roman" w:hAnsi="Times New Roman" w:cs="Times New Roman"/>
          <w:sz w:val="22"/>
          <w:szCs w:val="22"/>
        </w:rPr>
      </w:pPr>
      <w:r w:rsidRPr="00754CB0">
        <w:rPr>
          <w:rFonts w:ascii="Times New Roman" w:hAnsi="Times New Roman" w:cs="Times New Roman"/>
          <w:sz w:val="22"/>
          <w:szCs w:val="22"/>
          <w:u w:val="single"/>
        </w:rPr>
        <w:t>Renewable Energy Gap</w:t>
      </w:r>
      <w:r>
        <w:rPr>
          <w:rFonts w:ascii="Times New Roman" w:hAnsi="Times New Roman" w:cs="Times New Roman"/>
          <w:sz w:val="22"/>
          <w:szCs w:val="22"/>
        </w:rPr>
        <w:t xml:space="preserve"> -</w:t>
      </w:r>
      <w:r w:rsidRPr="00754CB0">
        <w:rPr>
          <w:rFonts w:ascii="Times New Roman" w:hAnsi="Times New Roman" w:cs="Times New Roman"/>
          <w:sz w:val="22"/>
          <w:szCs w:val="22"/>
        </w:rPr>
        <w:t>From 2017 to 2027, the average gap between primary energy and renewables for all four regions combined remains 80%. This means that even the world leaders in renewable energy progress are using, or will use, only approximately 20% of their energy from renewables</w:t>
      </w:r>
      <w:r w:rsidR="00D536F7">
        <w:rPr>
          <w:rFonts w:ascii="Times New Roman" w:hAnsi="Times New Roman" w:cs="Times New Roman"/>
          <w:sz w:val="22"/>
          <w:szCs w:val="22"/>
        </w:rPr>
        <w:t>, combined.</w:t>
      </w:r>
    </w:p>
    <w:p w14:paraId="2CECC4B8" w14:textId="4C1D71E5" w:rsidR="00D536F7" w:rsidRPr="00754CB0" w:rsidRDefault="00F3573E" w:rsidP="00754CB0">
      <w:pPr>
        <w:pStyle w:val="NoSpacing"/>
        <w:rPr>
          <w:rFonts w:ascii="Times New Roman" w:hAnsi="Times New Roman" w:cs="Times New Roman"/>
          <w:sz w:val="22"/>
          <w:szCs w:val="22"/>
        </w:rPr>
      </w:pPr>
      <w:r>
        <w:rPr>
          <w:rFonts w:ascii="Times New Roman" w:hAnsi="Times New Roman" w:cs="Times New Roman"/>
          <w:b/>
          <w:bCs/>
          <w:noProof/>
          <w:sz w:val="28"/>
          <w:szCs w:val="28"/>
          <w:u w:val="single"/>
        </w:rPr>
        <mc:AlternateContent>
          <mc:Choice Requires="wps">
            <w:drawing>
              <wp:anchor distT="0" distB="0" distL="114300" distR="114300" simplePos="0" relativeHeight="251688960" behindDoc="0" locked="0" layoutInCell="1" allowOverlap="1" wp14:anchorId="37FEDD64" wp14:editId="67ACEB7D">
                <wp:simplePos x="0" y="0"/>
                <wp:positionH relativeFrom="page">
                  <wp:align>right</wp:align>
                </wp:positionH>
                <wp:positionV relativeFrom="paragraph">
                  <wp:posOffset>993464</wp:posOffset>
                </wp:positionV>
                <wp:extent cx="7771561" cy="85569"/>
                <wp:effectExtent l="0" t="0" r="20320" b="10160"/>
                <wp:wrapNone/>
                <wp:docPr id="265794033" name="Rectangle: Diagonal Corners Rounded 8"/>
                <wp:cNvGraphicFramePr/>
                <a:graphic xmlns:a="http://schemas.openxmlformats.org/drawingml/2006/main">
                  <a:graphicData uri="http://schemas.microsoft.com/office/word/2010/wordprocessingShape">
                    <wps:wsp>
                      <wps:cNvSpPr/>
                      <wps:spPr>
                        <a:xfrm>
                          <a:off x="0" y="0"/>
                          <a:ext cx="7771561" cy="85569"/>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EF2D" id="Rectangle: Diagonal Corners Rounded 8" o:spid="_x0000_s1026" style="position:absolute;margin-left:560.75pt;margin-top:78.25pt;width:611.95pt;height:6.75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71561,8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" path="m14262,l7771561,r,l7771561,71307v,7877,-6385,14262,-14262,14262l,85569r,l,14262c,6385,6385,,14262,xe" fillcolor="#404040 [2429]" strokecolor="#030e13 [484]" strokeweight="1pt">
                <v:stroke joinstyle="miter"/>
                <v:path arrowok="t" o:connecttype="custom" o:connectlocs="14262,0;7771561,0;7771561,0;7771561,71307;7757299,85569;0,85569;0,85569;0,14262;14262,0" o:connectangles="0,0,0,0,0,0,0,0,0"/>
                <w10:wrap anchorx="page"/>
              </v:shape>
            </w:pict>
          </mc:Fallback>
        </mc:AlternateContent>
      </w:r>
    </w:p>
    <w:p w14:paraId="676C8C52" w14:textId="74A32639" w:rsidR="0022366F" w:rsidRDefault="00F3573E" w:rsidP="00754CB0">
      <w:pPr>
        <w:pStyle w:val="NoSpacing"/>
        <w:rPr>
          <w:rFonts w:ascii="Times New Roman" w:hAnsi="Times New Roman" w:cs="Times New Roman"/>
          <w:sz w:val="22"/>
          <w:szCs w:val="22"/>
          <w:u w:val="single"/>
        </w:rPr>
      </w:pPr>
      <w:r>
        <w:rPr>
          <w:noProof/>
        </w:rPr>
        <w:lastRenderedPageBreak/>
        <mc:AlternateContent>
          <mc:Choice Requires="wps">
            <w:drawing>
              <wp:anchor distT="0" distB="0" distL="114300" distR="114300" simplePos="0" relativeHeight="251671552" behindDoc="0" locked="0" layoutInCell="1" allowOverlap="1" wp14:anchorId="7C3CE723" wp14:editId="41164A5B">
                <wp:simplePos x="0" y="0"/>
                <wp:positionH relativeFrom="page">
                  <wp:align>right</wp:align>
                </wp:positionH>
                <wp:positionV relativeFrom="paragraph">
                  <wp:posOffset>-846671</wp:posOffset>
                </wp:positionV>
                <wp:extent cx="7755148" cy="77637"/>
                <wp:effectExtent l="0" t="0" r="17780" b="17780"/>
                <wp:wrapNone/>
                <wp:docPr id="2120884895" name="Rectangle 7"/>
                <wp:cNvGraphicFramePr/>
                <a:graphic xmlns:a="http://schemas.openxmlformats.org/drawingml/2006/main">
                  <a:graphicData uri="http://schemas.microsoft.com/office/word/2010/wordprocessingShape">
                    <wps:wsp>
                      <wps:cNvSpPr/>
                      <wps:spPr>
                        <a:xfrm>
                          <a:off x="0" y="0"/>
                          <a:ext cx="7755148" cy="77637"/>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EAE42" id="Rectangle 7" o:spid="_x0000_s1026" style="position:absolute;margin-left:559.45pt;margin-top:-66.65pt;width:610.65pt;height:6.1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" fillcolor="#a50021" strokecolor="#030e13 [484]" strokeweight="1pt">
                <w10:wrap anchorx="page"/>
              </v:rect>
            </w:pict>
          </mc:Fallback>
        </mc:AlternateContent>
      </w:r>
    </w:p>
    <w:p w14:paraId="7DD469B4" w14:textId="35CF8161" w:rsidR="0022366F" w:rsidRDefault="0022366F" w:rsidP="00754CB0">
      <w:pPr>
        <w:pStyle w:val="NoSpacing"/>
        <w:rPr>
          <w:rFonts w:ascii="Times New Roman" w:hAnsi="Times New Roman" w:cs="Times New Roman"/>
          <w:sz w:val="22"/>
          <w:szCs w:val="22"/>
          <w:u w:val="single"/>
        </w:rPr>
      </w:pPr>
    </w:p>
    <w:p w14:paraId="5B4F45F3" w14:textId="77777777" w:rsidR="0022366F" w:rsidRDefault="0022366F" w:rsidP="00754CB0">
      <w:pPr>
        <w:pStyle w:val="NoSpacing"/>
        <w:rPr>
          <w:rFonts w:ascii="Times New Roman" w:hAnsi="Times New Roman" w:cs="Times New Roman"/>
          <w:sz w:val="22"/>
          <w:szCs w:val="22"/>
          <w:u w:val="single"/>
        </w:rPr>
      </w:pPr>
    </w:p>
    <w:p w14:paraId="29F1A1CE" w14:textId="58E81A8C" w:rsidR="00754CB0" w:rsidRDefault="00754CB0" w:rsidP="00754CB0">
      <w:pPr>
        <w:pStyle w:val="NoSpacing"/>
        <w:rPr>
          <w:rFonts w:ascii="Times New Roman" w:hAnsi="Times New Roman" w:cs="Times New Roman"/>
          <w:sz w:val="22"/>
          <w:szCs w:val="22"/>
        </w:rPr>
      </w:pPr>
      <w:r w:rsidRPr="00754CB0">
        <w:rPr>
          <w:rFonts w:ascii="Times New Roman" w:hAnsi="Times New Roman" w:cs="Times New Roman"/>
          <w:sz w:val="22"/>
          <w:szCs w:val="22"/>
          <w:u w:val="single"/>
        </w:rPr>
        <w:t>Regional Leader</w:t>
      </w:r>
      <w:r>
        <w:rPr>
          <w:rFonts w:ascii="Times New Roman" w:hAnsi="Times New Roman" w:cs="Times New Roman"/>
          <w:sz w:val="22"/>
          <w:szCs w:val="22"/>
        </w:rPr>
        <w:t xml:space="preserve"> -</w:t>
      </w:r>
      <w:r w:rsidRPr="00754CB0">
        <w:rPr>
          <w:rFonts w:ascii="Times New Roman" w:hAnsi="Times New Roman" w:cs="Times New Roman"/>
          <w:sz w:val="22"/>
          <w:szCs w:val="22"/>
        </w:rPr>
        <w:t>The UK is leading the efforts to close the gap between primary energy consumption and renewable energy consumption, outpacing the other regions</w:t>
      </w:r>
      <w:r w:rsidR="00D536F7">
        <w:rPr>
          <w:rFonts w:ascii="Times New Roman" w:hAnsi="Times New Roman" w:cs="Times New Roman"/>
          <w:sz w:val="22"/>
          <w:szCs w:val="22"/>
        </w:rPr>
        <w:t xml:space="preserve"> with a 10-year average around 78%. </w:t>
      </w:r>
    </w:p>
    <w:p w14:paraId="46951576" w14:textId="77647F85" w:rsidR="00D536F7" w:rsidRPr="00754CB0" w:rsidRDefault="00D536F7" w:rsidP="00754CB0">
      <w:pPr>
        <w:pStyle w:val="NoSpacing"/>
        <w:rPr>
          <w:rFonts w:ascii="Times New Roman" w:hAnsi="Times New Roman" w:cs="Times New Roman"/>
          <w:sz w:val="22"/>
          <w:szCs w:val="22"/>
        </w:rPr>
      </w:pPr>
    </w:p>
    <w:p w14:paraId="544AD5A5" w14:textId="312E7AC3" w:rsidR="00566077" w:rsidRDefault="00754CB0" w:rsidP="00754CB0">
      <w:pPr>
        <w:pStyle w:val="NoSpacing"/>
        <w:rPr>
          <w:rFonts w:ascii="Times New Roman" w:hAnsi="Times New Roman" w:cs="Times New Roman"/>
          <w:sz w:val="22"/>
          <w:szCs w:val="22"/>
        </w:rPr>
      </w:pPr>
      <w:r w:rsidRPr="00754CB0">
        <w:rPr>
          <w:rFonts w:ascii="Times New Roman" w:hAnsi="Times New Roman" w:cs="Times New Roman"/>
          <w:sz w:val="22"/>
          <w:szCs w:val="22"/>
          <w:u w:val="single"/>
        </w:rPr>
        <w:t>Future Outlook</w:t>
      </w:r>
      <w:r>
        <w:rPr>
          <w:rFonts w:ascii="Times New Roman" w:hAnsi="Times New Roman" w:cs="Times New Roman"/>
          <w:sz w:val="22"/>
          <w:szCs w:val="22"/>
        </w:rPr>
        <w:t xml:space="preserve"> -</w:t>
      </w:r>
      <w:r w:rsidRPr="00754CB0">
        <w:rPr>
          <w:rFonts w:ascii="Times New Roman" w:hAnsi="Times New Roman" w:cs="Times New Roman"/>
          <w:sz w:val="22"/>
          <w:szCs w:val="22"/>
        </w:rPr>
        <w:t xml:space="preserve"> To achieve net zero and sustainable energy goals by 2030, a significant shift in energy consumption and production practices is necessary across all regions.</w:t>
      </w:r>
      <w:r w:rsidR="00D536F7">
        <w:rPr>
          <w:rFonts w:ascii="Times New Roman" w:hAnsi="Times New Roman" w:cs="Times New Roman"/>
          <w:sz w:val="22"/>
          <w:szCs w:val="22"/>
        </w:rPr>
        <w:t xml:space="preserve"> Strong commitments and financial allocation towards these goals are in the works. </w:t>
      </w:r>
    </w:p>
    <w:p w14:paraId="2B3B1DEE" w14:textId="77777777" w:rsidR="00D536F7" w:rsidRDefault="00D536F7" w:rsidP="00754CB0">
      <w:pPr>
        <w:pStyle w:val="NoSpacing"/>
        <w:rPr>
          <w:rFonts w:ascii="Times New Roman" w:hAnsi="Times New Roman" w:cs="Times New Roman"/>
          <w:sz w:val="22"/>
          <w:szCs w:val="22"/>
        </w:rPr>
      </w:pPr>
    </w:p>
    <w:p w14:paraId="7E548B50" w14:textId="77777777" w:rsidR="00D536F7" w:rsidRDefault="00D536F7" w:rsidP="00754CB0">
      <w:pPr>
        <w:pStyle w:val="NoSpacing"/>
        <w:rPr>
          <w:rFonts w:ascii="Times New Roman" w:hAnsi="Times New Roman" w:cs="Times New Roman"/>
          <w:sz w:val="22"/>
          <w:szCs w:val="22"/>
        </w:rPr>
      </w:pPr>
    </w:p>
    <w:p w14:paraId="53FA4D05" w14:textId="77777777" w:rsidR="007916F4" w:rsidRDefault="007916F4" w:rsidP="00754CB0">
      <w:pPr>
        <w:pStyle w:val="NoSpacing"/>
        <w:rPr>
          <w:rFonts w:ascii="Times New Roman" w:hAnsi="Times New Roman" w:cs="Times New Roman"/>
          <w:sz w:val="22"/>
          <w:szCs w:val="22"/>
          <w:u w:val="single"/>
        </w:rPr>
      </w:pPr>
    </w:p>
    <w:p w14:paraId="21D5A113" w14:textId="77777777" w:rsidR="007916F4" w:rsidRDefault="007916F4" w:rsidP="00754CB0">
      <w:pPr>
        <w:pStyle w:val="NoSpacing"/>
        <w:rPr>
          <w:rFonts w:ascii="Times New Roman" w:hAnsi="Times New Roman" w:cs="Times New Roman"/>
          <w:sz w:val="22"/>
          <w:szCs w:val="22"/>
          <w:u w:val="single"/>
        </w:rPr>
      </w:pPr>
    </w:p>
    <w:p w14:paraId="56BB6D2E" w14:textId="77777777" w:rsidR="007916F4" w:rsidRPr="0021579C" w:rsidRDefault="007916F4" w:rsidP="007916F4">
      <w:pPr>
        <w:pStyle w:val="NoSpacing"/>
        <w:rPr>
          <w:rFonts w:ascii="Times New Roman" w:hAnsi="Times New Roman" w:cs="Times New Roman"/>
          <w:b/>
          <w:bCs/>
          <w:sz w:val="24"/>
          <w:szCs w:val="24"/>
          <w:u w:val="single"/>
        </w:rPr>
      </w:pPr>
      <w:r w:rsidRPr="0021579C">
        <w:rPr>
          <w:rFonts w:ascii="Times New Roman" w:hAnsi="Times New Roman" w:cs="Times New Roman"/>
          <w:b/>
          <w:bCs/>
          <w:sz w:val="24"/>
          <w:szCs w:val="24"/>
          <w:u w:val="single"/>
        </w:rPr>
        <w:t xml:space="preserve">Renewable Goals and Commitments   </w:t>
      </w:r>
    </w:p>
    <w:p w14:paraId="6F585B38" w14:textId="77777777" w:rsidR="007916F4" w:rsidRDefault="007916F4" w:rsidP="007916F4">
      <w:pPr>
        <w:pStyle w:val="NoSpacing"/>
        <w:rPr>
          <w:rFonts w:ascii="Times New Roman" w:hAnsi="Times New Roman" w:cs="Times New Roman"/>
          <w:sz w:val="23"/>
          <w:szCs w:val="23"/>
        </w:rPr>
      </w:pPr>
    </w:p>
    <w:p w14:paraId="408D8604" w14:textId="77777777" w:rsidR="007916F4" w:rsidRDefault="007916F4" w:rsidP="00754CB0">
      <w:pPr>
        <w:pStyle w:val="NoSpacing"/>
        <w:rPr>
          <w:rFonts w:ascii="Times New Roman" w:hAnsi="Times New Roman" w:cs="Times New Roman"/>
          <w:sz w:val="22"/>
          <w:szCs w:val="22"/>
          <w:u w:val="single"/>
        </w:rPr>
      </w:pPr>
    </w:p>
    <w:p w14:paraId="4814543E" w14:textId="105B23C5" w:rsidR="00F318D3" w:rsidRDefault="00D536F7" w:rsidP="00754CB0">
      <w:pPr>
        <w:pStyle w:val="NoSpacing"/>
        <w:rPr>
          <w:rFonts w:ascii="Times New Roman" w:hAnsi="Times New Roman" w:cs="Times New Roman"/>
          <w:sz w:val="22"/>
          <w:szCs w:val="22"/>
          <w:u w:val="single"/>
        </w:rPr>
      </w:pPr>
      <w:r w:rsidRPr="00D536F7">
        <w:rPr>
          <w:rFonts w:ascii="Times New Roman" w:hAnsi="Times New Roman" w:cs="Times New Roman"/>
          <w:sz w:val="22"/>
          <w:szCs w:val="22"/>
          <w:u w:val="single"/>
        </w:rPr>
        <w:t>The United States</w:t>
      </w:r>
      <w:r>
        <w:rPr>
          <w:rFonts w:ascii="Times New Roman" w:hAnsi="Times New Roman" w:cs="Times New Roman"/>
          <w:sz w:val="22"/>
          <w:szCs w:val="22"/>
          <w:u w:val="single"/>
        </w:rPr>
        <w:t xml:space="preserve"> </w:t>
      </w:r>
    </w:p>
    <w:p w14:paraId="78C76DBA" w14:textId="144577DF" w:rsidR="00D536F7" w:rsidRPr="00B733D9" w:rsidRDefault="00B733D9" w:rsidP="00754CB0">
      <w:pPr>
        <w:pStyle w:val="NoSpacing"/>
        <w:rPr>
          <w:rFonts w:ascii="Times New Roman" w:hAnsi="Times New Roman" w:cs="Times New Roman"/>
          <w:sz w:val="22"/>
          <w:szCs w:val="22"/>
        </w:rPr>
      </w:pPr>
      <w:r w:rsidRPr="00B733D9">
        <w:rPr>
          <w:rFonts w:ascii="Times New Roman" w:hAnsi="Times New Roman" w:cs="Times New Roman"/>
          <w:sz w:val="22"/>
          <w:szCs w:val="22"/>
        </w:rPr>
        <w:t>The U.S. aims to achieve a carbon pollution-free power sector by 2035 and net-zero emissions by 2050. As of 2023, the current administration has allocated $1.8 trillion towards energy transition technologies and their supply chains, according to a report by BNEF. To support this transition, both private and government entities, including the Department of the Interior, Walmart, and Amazon, are actively facilitating the development and investment in renewable energy. These efforts encompass a range of initiatives, from modernizing infrastructure to accelerating the permitting process for renewable energy projects.</w:t>
      </w:r>
    </w:p>
    <w:p w14:paraId="6368EB17" w14:textId="77777777" w:rsidR="00D536F7" w:rsidRDefault="00D536F7" w:rsidP="00754CB0">
      <w:pPr>
        <w:pStyle w:val="NoSpacing"/>
        <w:rPr>
          <w:rFonts w:ascii="Times New Roman" w:hAnsi="Times New Roman" w:cs="Times New Roman"/>
          <w:sz w:val="22"/>
          <w:szCs w:val="22"/>
        </w:rPr>
      </w:pPr>
    </w:p>
    <w:p w14:paraId="7F17C4EB" w14:textId="77777777" w:rsidR="00F318D3" w:rsidRDefault="00B733D9" w:rsidP="00754CB0">
      <w:pPr>
        <w:pStyle w:val="NoSpacing"/>
        <w:rPr>
          <w:rFonts w:ascii="Times New Roman" w:hAnsi="Times New Roman" w:cs="Times New Roman"/>
          <w:sz w:val="22"/>
          <w:szCs w:val="22"/>
          <w:u w:val="single"/>
        </w:rPr>
      </w:pPr>
      <w:r w:rsidRPr="00B733D9">
        <w:rPr>
          <w:rFonts w:ascii="Times New Roman" w:hAnsi="Times New Roman" w:cs="Times New Roman"/>
          <w:sz w:val="22"/>
          <w:szCs w:val="22"/>
          <w:u w:val="single"/>
        </w:rPr>
        <w:t xml:space="preserve">The United Kingdom- </w:t>
      </w:r>
    </w:p>
    <w:p w14:paraId="10B66BAC" w14:textId="37480142" w:rsidR="00B733D9" w:rsidRDefault="00CE121F" w:rsidP="00754CB0">
      <w:pPr>
        <w:pStyle w:val="NoSpacing"/>
        <w:rPr>
          <w:rFonts w:ascii="Times New Roman" w:hAnsi="Times New Roman" w:cs="Times New Roman"/>
          <w:sz w:val="22"/>
          <w:szCs w:val="22"/>
        </w:rPr>
      </w:pPr>
      <w:r w:rsidRPr="00CE121F">
        <w:rPr>
          <w:rFonts w:ascii="Times New Roman" w:hAnsi="Times New Roman" w:cs="Times New Roman"/>
          <w:sz w:val="22"/>
          <w:szCs w:val="22"/>
        </w:rPr>
        <w:t>The U</w:t>
      </w:r>
      <w:r w:rsidR="00F318D3">
        <w:rPr>
          <w:rFonts w:ascii="Times New Roman" w:hAnsi="Times New Roman" w:cs="Times New Roman"/>
          <w:sz w:val="22"/>
          <w:szCs w:val="22"/>
        </w:rPr>
        <w:t>K</w:t>
      </w:r>
      <w:r w:rsidRPr="00CE121F">
        <w:rPr>
          <w:rFonts w:ascii="Times New Roman" w:hAnsi="Times New Roman" w:cs="Times New Roman"/>
          <w:sz w:val="22"/>
          <w:szCs w:val="22"/>
        </w:rPr>
        <w:t xml:space="preserve"> is committed to achieving net-zero emissions by 2050, supported by substantial investments in renewable energy and new technologies like CCUS, hydrogen, and small modular reactors. The government aims to unlock up to £90 billion in private investment by 2030</w:t>
      </w:r>
      <w:r>
        <w:rPr>
          <w:rFonts w:ascii="Times New Roman" w:hAnsi="Times New Roman" w:cs="Times New Roman"/>
          <w:sz w:val="22"/>
          <w:szCs w:val="22"/>
        </w:rPr>
        <w:t>.</w:t>
      </w:r>
      <w:r w:rsidRPr="00CE121F">
        <w:rPr>
          <w:rFonts w:ascii="Times New Roman" w:hAnsi="Times New Roman" w:cs="Times New Roman"/>
          <w:sz w:val="22"/>
          <w:szCs w:val="22"/>
        </w:rPr>
        <w:t xml:space="preserve"> However, challenges such as regulatory hurdles, investment certainty, and technological integration remain. The UK continues to drive forward with strong public and private sector partnerships to meet its ambitious renewable energy goals​</w:t>
      </w:r>
    </w:p>
    <w:p w14:paraId="5775410A" w14:textId="77777777" w:rsidR="00CE121F" w:rsidRDefault="00CE121F" w:rsidP="00754CB0">
      <w:pPr>
        <w:pStyle w:val="NoSpacing"/>
        <w:rPr>
          <w:rFonts w:ascii="Times New Roman" w:hAnsi="Times New Roman" w:cs="Times New Roman"/>
          <w:sz w:val="22"/>
          <w:szCs w:val="22"/>
        </w:rPr>
      </w:pPr>
    </w:p>
    <w:p w14:paraId="343C4303" w14:textId="2277AD74" w:rsidR="00F318D3" w:rsidRDefault="00CE121F" w:rsidP="00754CB0">
      <w:pPr>
        <w:pStyle w:val="NoSpacing"/>
        <w:rPr>
          <w:rFonts w:ascii="Times New Roman" w:hAnsi="Times New Roman" w:cs="Times New Roman"/>
          <w:sz w:val="22"/>
          <w:szCs w:val="22"/>
          <w:u w:val="single"/>
        </w:rPr>
      </w:pPr>
      <w:r w:rsidRPr="00CE121F">
        <w:rPr>
          <w:rFonts w:ascii="Times New Roman" w:hAnsi="Times New Roman" w:cs="Times New Roman"/>
          <w:sz w:val="22"/>
          <w:szCs w:val="22"/>
          <w:u w:val="single"/>
        </w:rPr>
        <w:t xml:space="preserve">The European Union </w:t>
      </w:r>
    </w:p>
    <w:p w14:paraId="3460C0BE" w14:textId="47AE877D" w:rsidR="00D536F7" w:rsidRPr="00F318D3" w:rsidRDefault="00F318D3" w:rsidP="00754CB0">
      <w:pPr>
        <w:pStyle w:val="NoSpacing"/>
        <w:rPr>
          <w:rFonts w:ascii="Times New Roman" w:hAnsi="Times New Roman" w:cs="Times New Roman"/>
          <w:sz w:val="22"/>
          <w:szCs w:val="22"/>
        </w:rPr>
      </w:pPr>
      <w:r w:rsidRPr="00F318D3">
        <w:rPr>
          <w:rFonts w:ascii="Times New Roman" w:hAnsi="Times New Roman" w:cs="Times New Roman"/>
          <w:sz w:val="22"/>
          <w:szCs w:val="22"/>
        </w:rPr>
        <w:t>The E</w:t>
      </w:r>
      <w:r>
        <w:rPr>
          <w:rFonts w:ascii="Times New Roman" w:hAnsi="Times New Roman" w:cs="Times New Roman"/>
          <w:sz w:val="22"/>
          <w:szCs w:val="22"/>
        </w:rPr>
        <w:t>U</w:t>
      </w:r>
      <w:r w:rsidRPr="00F318D3">
        <w:rPr>
          <w:rFonts w:ascii="Times New Roman" w:hAnsi="Times New Roman" w:cs="Times New Roman"/>
          <w:sz w:val="22"/>
          <w:szCs w:val="22"/>
        </w:rPr>
        <w:t xml:space="preserve"> aims to achieve climate neutrality by 2050, targeting a 42.5% share of renewable energy by 2030</w:t>
      </w:r>
      <w:r>
        <w:rPr>
          <w:rFonts w:ascii="Times New Roman" w:hAnsi="Times New Roman" w:cs="Times New Roman"/>
          <w:sz w:val="22"/>
          <w:szCs w:val="22"/>
        </w:rPr>
        <w:t>.</w:t>
      </w:r>
      <w:r w:rsidRPr="00F318D3">
        <w:rPr>
          <w:rFonts w:ascii="Times New Roman" w:hAnsi="Times New Roman" w:cs="Times New Roman"/>
          <w:sz w:val="22"/>
          <w:szCs w:val="22"/>
        </w:rPr>
        <w:t xml:space="preserve"> Significant investments, including doubling solar photovoltaic capacity to 320 GW by 2025 and 600 GW by 2030, are planned under the REPowerEU plan to reduce dependence on Russian fossil fuels and accelerate renewable energy deployment​</w:t>
      </w:r>
      <w:r>
        <w:rPr>
          <w:rFonts w:ascii="Times New Roman" w:hAnsi="Times New Roman" w:cs="Times New Roman"/>
          <w:sz w:val="22"/>
          <w:szCs w:val="22"/>
        </w:rPr>
        <w:t xml:space="preserve">. </w:t>
      </w:r>
      <w:r w:rsidRPr="00F318D3">
        <w:rPr>
          <w:rFonts w:ascii="Times New Roman" w:hAnsi="Times New Roman" w:cs="Times New Roman"/>
          <w:sz w:val="22"/>
          <w:szCs w:val="22"/>
        </w:rPr>
        <w:t>Public and private sector collaborations and funds like the Trans-European Networks for Energy (TEN-E) support these initiatives​</w:t>
      </w:r>
      <w:r>
        <w:rPr>
          <w:rFonts w:ascii="Times New Roman" w:hAnsi="Times New Roman" w:cs="Times New Roman"/>
          <w:sz w:val="22"/>
          <w:szCs w:val="22"/>
        </w:rPr>
        <w:t>.</w:t>
      </w:r>
      <w:r w:rsidRPr="00F318D3">
        <w:rPr>
          <w:rFonts w:ascii="Times New Roman" w:hAnsi="Times New Roman" w:cs="Times New Roman"/>
          <w:sz w:val="22"/>
          <w:szCs w:val="22"/>
        </w:rPr>
        <w:t xml:space="preserve"> Key infrastructure projects include modernizing the electricity grid and enhancing cross-border interconnections​</w:t>
      </w:r>
      <w:r>
        <w:rPr>
          <w:rFonts w:ascii="Times New Roman" w:hAnsi="Times New Roman" w:cs="Times New Roman"/>
          <w:sz w:val="22"/>
          <w:szCs w:val="22"/>
        </w:rPr>
        <w:t xml:space="preserve">. </w:t>
      </w:r>
    </w:p>
    <w:p w14:paraId="64EEC9AD" w14:textId="77777777" w:rsidR="00D536F7" w:rsidRPr="00F318D3" w:rsidRDefault="00D536F7" w:rsidP="00754CB0">
      <w:pPr>
        <w:pStyle w:val="NoSpacing"/>
        <w:rPr>
          <w:rFonts w:ascii="Times New Roman" w:hAnsi="Times New Roman" w:cs="Times New Roman"/>
          <w:sz w:val="22"/>
          <w:szCs w:val="22"/>
        </w:rPr>
      </w:pPr>
    </w:p>
    <w:p w14:paraId="7F35965E" w14:textId="522A8BE0" w:rsidR="00F318D3" w:rsidRDefault="00F318D3" w:rsidP="00754CB0">
      <w:pPr>
        <w:pStyle w:val="NoSpacing"/>
        <w:rPr>
          <w:rFonts w:ascii="Times New Roman" w:hAnsi="Times New Roman" w:cs="Times New Roman"/>
          <w:sz w:val="22"/>
          <w:szCs w:val="22"/>
          <w:u w:val="single"/>
        </w:rPr>
      </w:pPr>
      <w:r w:rsidRPr="00F318D3">
        <w:rPr>
          <w:rFonts w:ascii="Times New Roman" w:hAnsi="Times New Roman" w:cs="Times New Roman"/>
          <w:sz w:val="22"/>
          <w:szCs w:val="22"/>
          <w:u w:val="single"/>
        </w:rPr>
        <w:t xml:space="preserve">Canada </w:t>
      </w:r>
    </w:p>
    <w:p w14:paraId="3E1F86F8" w14:textId="5483C1A5" w:rsidR="00D536F7" w:rsidRPr="00F318D3" w:rsidRDefault="00F318D3" w:rsidP="00754CB0">
      <w:pPr>
        <w:pStyle w:val="NoSpacing"/>
        <w:rPr>
          <w:rFonts w:ascii="Times New Roman" w:hAnsi="Times New Roman" w:cs="Times New Roman"/>
          <w:sz w:val="22"/>
          <w:szCs w:val="22"/>
        </w:rPr>
      </w:pPr>
      <w:r w:rsidRPr="00F318D3">
        <w:rPr>
          <w:rFonts w:ascii="Times New Roman" w:hAnsi="Times New Roman" w:cs="Times New Roman"/>
          <w:sz w:val="22"/>
          <w:szCs w:val="22"/>
        </w:rPr>
        <w:t>Canada aims for net-zero emissions by 2050 and a 40-45% reduction in greenhouse gas emissions by 2030, with $60 billion allocated for clean energy investments over the next decade​</w:t>
      </w:r>
      <w:r>
        <w:rPr>
          <w:rFonts w:ascii="Times New Roman" w:hAnsi="Times New Roman" w:cs="Times New Roman"/>
          <w:sz w:val="22"/>
          <w:szCs w:val="22"/>
        </w:rPr>
        <w:t xml:space="preserve">. </w:t>
      </w:r>
      <w:r w:rsidRPr="00F318D3">
        <w:rPr>
          <w:rFonts w:ascii="Times New Roman" w:hAnsi="Times New Roman" w:cs="Times New Roman"/>
          <w:sz w:val="22"/>
          <w:szCs w:val="22"/>
        </w:rPr>
        <w:t>Key partnerships involve the Canada Electricity Advisory Council and private sector collaborations, which have attracted over $50 billion in investments​</w:t>
      </w:r>
      <w:r w:rsidR="00FA4106">
        <w:rPr>
          <w:rFonts w:ascii="Times New Roman" w:hAnsi="Times New Roman" w:cs="Times New Roman"/>
          <w:sz w:val="22"/>
          <w:szCs w:val="22"/>
        </w:rPr>
        <w:t>.</w:t>
      </w:r>
      <w:r w:rsidRPr="00F318D3">
        <w:rPr>
          <w:rFonts w:ascii="Times New Roman" w:hAnsi="Times New Roman" w:cs="Times New Roman"/>
          <w:sz w:val="22"/>
          <w:szCs w:val="22"/>
        </w:rPr>
        <w:t xml:space="preserve"> Infrastructure efforts focus on doubling electricity generation capacity by 2050, emphasizing wind, solar, SMRs, and energy storage​</w:t>
      </w:r>
      <w:r w:rsidR="00FA4106">
        <w:rPr>
          <w:rFonts w:ascii="Times New Roman" w:hAnsi="Times New Roman" w:cs="Times New Roman"/>
          <w:sz w:val="22"/>
          <w:szCs w:val="22"/>
        </w:rPr>
        <w:t xml:space="preserve">. </w:t>
      </w:r>
    </w:p>
    <w:p w14:paraId="6838E0A1" w14:textId="0ABF8E01" w:rsidR="00566077" w:rsidRDefault="00566077" w:rsidP="00617387">
      <w:pPr>
        <w:pStyle w:val="NoSpacing"/>
        <w:rPr>
          <w:rFonts w:ascii="Times New Roman" w:hAnsi="Times New Roman" w:cs="Times New Roman"/>
          <w:sz w:val="28"/>
          <w:szCs w:val="28"/>
        </w:rPr>
      </w:pPr>
    </w:p>
    <w:p w14:paraId="7706DD16" w14:textId="02CFE9BF" w:rsidR="007916F4" w:rsidRDefault="007916F4" w:rsidP="00617387">
      <w:pPr>
        <w:pStyle w:val="NoSpacing"/>
        <w:rPr>
          <w:rFonts w:ascii="Times New Roman" w:hAnsi="Times New Roman" w:cs="Times New Roman"/>
          <w:sz w:val="28"/>
          <w:szCs w:val="28"/>
        </w:rPr>
      </w:pPr>
    </w:p>
    <w:p w14:paraId="41508DE1" w14:textId="76800B79" w:rsidR="007916F4" w:rsidRDefault="007916F4" w:rsidP="00617387">
      <w:pPr>
        <w:pStyle w:val="NoSpacing"/>
        <w:rPr>
          <w:rFonts w:ascii="Times New Roman" w:hAnsi="Times New Roman" w:cs="Times New Roman"/>
          <w:sz w:val="28"/>
          <w:szCs w:val="28"/>
        </w:rPr>
      </w:pPr>
    </w:p>
    <w:p w14:paraId="5941720C" w14:textId="71B77143" w:rsidR="007916F4" w:rsidRDefault="00F3573E" w:rsidP="00617387">
      <w:pPr>
        <w:pStyle w:val="NoSpacing"/>
        <w:rPr>
          <w:rFonts w:ascii="Times New Roman" w:hAnsi="Times New Roman" w:cs="Times New Roman"/>
          <w:sz w:val="28"/>
          <w:szCs w:val="28"/>
        </w:rPr>
      </w:pPr>
      <w:r>
        <w:rPr>
          <w:rFonts w:ascii="Times New Roman" w:hAnsi="Times New Roman" w:cs="Times New Roman"/>
          <w:b/>
          <w:bCs/>
          <w:noProof/>
          <w:sz w:val="28"/>
          <w:szCs w:val="28"/>
          <w:u w:val="single"/>
        </w:rPr>
        <mc:AlternateContent>
          <mc:Choice Requires="wps">
            <w:drawing>
              <wp:anchor distT="0" distB="0" distL="114300" distR="114300" simplePos="0" relativeHeight="251705344" behindDoc="0" locked="0" layoutInCell="1" allowOverlap="1" wp14:anchorId="4486A402" wp14:editId="17EC149D">
                <wp:simplePos x="0" y="0"/>
                <wp:positionH relativeFrom="page">
                  <wp:posOffset>-68951</wp:posOffset>
                </wp:positionH>
                <wp:positionV relativeFrom="paragraph">
                  <wp:posOffset>965152</wp:posOffset>
                </wp:positionV>
                <wp:extent cx="8022566" cy="76463"/>
                <wp:effectExtent l="0" t="0" r="17145" b="19050"/>
                <wp:wrapNone/>
                <wp:docPr id="823903933" name="Rectangle: Diagonal Corners Rounded 8"/>
                <wp:cNvGraphicFramePr/>
                <a:graphic xmlns:a="http://schemas.openxmlformats.org/drawingml/2006/main">
                  <a:graphicData uri="http://schemas.microsoft.com/office/word/2010/wordprocessingShape">
                    <wps:wsp>
                      <wps:cNvSpPr/>
                      <wps:spPr>
                        <a:xfrm>
                          <a:off x="0" y="0"/>
                          <a:ext cx="8022566" cy="76463"/>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BD5A" id="Rectangle: Diagonal Corners Rounded 8" o:spid="_x0000_s1026" style="position:absolute;margin-left:-5.45pt;margin-top:76pt;width:631.7pt;height: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22566,7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" path="m12744,l8022566,r,l8022566,63719v,7038,-5706,12744,-12744,12744l,76463r,l,12744c,5706,5706,,12744,xe" fillcolor="#404040 [2429]" strokecolor="#030e13 [484]" strokeweight="1pt">
                <v:stroke joinstyle="miter"/>
                <v:path arrowok="t" o:connecttype="custom" o:connectlocs="12744,0;8022566,0;8022566,0;8022566,63719;8009822,76463;0,76463;0,76463;0,12744;12744,0" o:connectangles="0,0,0,0,0,0,0,0,0"/>
                <w10:wrap anchorx="page"/>
              </v:shape>
            </w:pict>
          </mc:Fallback>
        </mc:AlternateContent>
      </w:r>
      <w:r w:rsidR="00FA666C">
        <w:rPr>
          <w:rFonts w:ascii="Times New Roman" w:hAnsi="Times New Roman" w:cs="Times New Roman"/>
          <w:b/>
          <w:bCs/>
          <w:noProof/>
          <w:sz w:val="28"/>
          <w:szCs w:val="28"/>
          <w:u w:val="single"/>
        </w:rPr>
        <mc:AlternateContent>
          <mc:Choice Requires="wps">
            <w:drawing>
              <wp:anchor distT="0" distB="0" distL="114300" distR="114300" simplePos="0" relativeHeight="251691008" behindDoc="0" locked="0" layoutInCell="1" allowOverlap="1" wp14:anchorId="47F143CC" wp14:editId="16DF986C">
                <wp:simplePos x="0" y="0"/>
                <wp:positionH relativeFrom="page">
                  <wp:align>right</wp:align>
                </wp:positionH>
                <wp:positionV relativeFrom="paragraph">
                  <wp:posOffset>1103582</wp:posOffset>
                </wp:positionV>
                <wp:extent cx="7771561" cy="85569"/>
                <wp:effectExtent l="0" t="0" r="20320" b="10160"/>
                <wp:wrapNone/>
                <wp:docPr id="991578187" name="Rectangle: Diagonal Corners Rounded 8"/>
                <wp:cNvGraphicFramePr/>
                <a:graphic xmlns:a="http://schemas.openxmlformats.org/drawingml/2006/main">
                  <a:graphicData uri="http://schemas.microsoft.com/office/word/2010/wordprocessingShape">
                    <wps:wsp>
                      <wps:cNvSpPr/>
                      <wps:spPr>
                        <a:xfrm>
                          <a:off x="0" y="0"/>
                          <a:ext cx="7771561" cy="85569"/>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97D7" id="Rectangle: Diagonal Corners Rounded 8" o:spid="_x0000_s1026" style="position:absolute;margin-left:560.75pt;margin-top:86.9pt;width:611.95pt;height:6.75pt;z-index:2516910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71561,8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" path="m14262,l7771561,r,l7771561,71307v,7877,-6385,14262,-14262,14262l,85569r,l,14262c,6385,6385,,14262,xe" fillcolor="#404040 [2429]" strokecolor="#030e13 [484]" strokeweight="1pt">
                <v:stroke joinstyle="miter"/>
                <v:path arrowok="t" o:connecttype="custom" o:connectlocs="14262,0;7771561,0;7771561,0;7771561,71307;7757299,85569;0,85569;0,85569;0,14262;14262,0" o:connectangles="0,0,0,0,0,0,0,0,0"/>
                <w10:wrap anchorx="page"/>
              </v:shape>
            </w:pict>
          </mc:Fallback>
        </mc:AlternateContent>
      </w:r>
    </w:p>
    <w:p w14:paraId="10C518A0" w14:textId="4CD0FDF7" w:rsidR="007916F4" w:rsidRDefault="0022366F" w:rsidP="00617387">
      <w:pPr>
        <w:pStyle w:val="NoSpacing"/>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73600" behindDoc="0" locked="0" layoutInCell="1" allowOverlap="1" wp14:anchorId="08ABCDD7" wp14:editId="5CB6DB12">
                <wp:simplePos x="0" y="0"/>
                <wp:positionH relativeFrom="page">
                  <wp:align>right</wp:align>
                </wp:positionH>
                <wp:positionV relativeFrom="paragraph">
                  <wp:posOffset>-852913</wp:posOffset>
                </wp:positionV>
                <wp:extent cx="7755148" cy="77637"/>
                <wp:effectExtent l="0" t="0" r="17780" b="17780"/>
                <wp:wrapNone/>
                <wp:docPr id="897235476" name="Rectangle 7"/>
                <wp:cNvGraphicFramePr/>
                <a:graphic xmlns:a="http://schemas.openxmlformats.org/drawingml/2006/main">
                  <a:graphicData uri="http://schemas.microsoft.com/office/word/2010/wordprocessingShape">
                    <wps:wsp>
                      <wps:cNvSpPr/>
                      <wps:spPr>
                        <a:xfrm>
                          <a:off x="0" y="0"/>
                          <a:ext cx="7755148" cy="77637"/>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4130B" id="Rectangle 7" o:spid="_x0000_s1026" style="position:absolute;margin-left:559.45pt;margin-top:-67.15pt;width:610.65pt;height:6.1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" fillcolor="#a50021" strokecolor="#030e13 [484]" strokeweight="1pt">
                <w10:wrap anchorx="page"/>
              </v:rect>
            </w:pict>
          </mc:Fallback>
        </mc:AlternateContent>
      </w:r>
    </w:p>
    <w:p w14:paraId="15007944" w14:textId="77777777" w:rsidR="00E44B25" w:rsidRDefault="00E44B25" w:rsidP="00617387">
      <w:pPr>
        <w:pStyle w:val="NoSpacing"/>
        <w:rPr>
          <w:rFonts w:ascii="Times New Roman" w:hAnsi="Times New Roman" w:cs="Times New Roman"/>
          <w:b/>
          <w:bCs/>
          <w:sz w:val="28"/>
          <w:szCs w:val="28"/>
          <w:u w:val="single"/>
        </w:rPr>
      </w:pPr>
    </w:p>
    <w:p w14:paraId="4C96B5E3" w14:textId="395535DF" w:rsidR="007916F4" w:rsidRPr="007916F4" w:rsidRDefault="007916F4" w:rsidP="00617387">
      <w:pPr>
        <w:pStyle w:val="NoSpacing"/>
        <w:rPr>
          <w:rFonts w:ascii="Times New Roman" w:hAnsi="Times New Roman" w:cs="Times New Roman"/>
          <w:b/>
          <w:bCs/>
          <w:sz w:val="28"/>
          <w:szCs w:val="28"/>
          <w:u w:val="single"/>
        </w:rPr>
      </w:pPr>
      <w:r w:rsidRPr="007916F4">
        <w:rPr>
          <w:rFonts w:ascii="Times New Roman" w:hAnsi="Times New Roman" w:cs="Times New Roman"/>
          <w:b/>
          <w:bCs/>
          <w:sz w:val="28"/>
          <w:szCs w:val="28"/>
          <w:u w:val="single"/>
        </w:rPr>
        <w:t xml:space="preserve">East Energy Consumption Comparison </w:t>
      </w:r>
    </w:p>
    <w:p w14:paraId="7CF049E2" w14:textId="77777777" w:rsidR="007916F4" w:rsidRPr="00F318D3" w:rsidRDefault="007916F4" w:rsidP="00617387">
      <w:pPr>
        <w:pStyle w:val="NoSpacing"/>
        <w:rPr>
          <w:rFonts w:ascii="Times New Roman" w:hAnsi="Times New Roman" w:cs="Times New Roman"/>
          <w:sz w:val="28"/>
          <w:szCs w:val="28"/>
        </w:rPr>
      </w:pPr>
    </w:p>
    <w:p w14:paraId="6E2D10AD" w14:textId="2E9324BE" w:rsidR="00566077" w:rsidRDefault="00566077" w:rsidP="00566077">
      <w:pPr>
        <w:pStyle w:val="NormalWeb"/>
      </w:pPr>
      <w:r>
        <w:rPr>
          <w:noProof/>
        </w:rPr>
        <w:drawing>
          <wp:inline distT="0" distB="0" distL="0" distR="0" wp14:anchorId="77F0DBCC" wp14:editId="466A99D2">
            <wp:extent cx="5960110" cy="3605482"/>
            <wp:effectExtent l="95250" t="95250" r="78740" b="71755"/>
            <wp:docPr id="925550126" name="Picture 1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50126" name="Picture 15" descr="A graph of different colored line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8638" cy="364088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35E8056" w14:textId="77777777" w:rsidR="00BE5888" w:rsidRDefault="00BE5888" w:rsidP="00E444B4">
      <w:pPr>
        <w:pStyle w:val="NoSpacing"/>
        <w:rPr>
          <w:rFonts w:ascii="Times New Roman" w:hAnsi="Times New Roman" w:cs="Times New Roman"/>
          <w:sz w:val="22"/>
          <w:szCs w:val="22"/>
        </w:rPr>
      </w:pPr>
    </w:p>
    <w:p w14:paraId="2707369F" w14:textId="11FEB571" w:rsidR="00467D7B" w:rsidRPr="00D00C4F" w:rsidRDefault="00383443" w:rsidP="00D00C4F">
      <w:pPr>
        <w:pStyle w:val="NoSpacing"/>
        <w:numPr>
          <w:ilvl w:val="0"/>
          <w:numId w:val="30"/>
        </w:numPr>
        <w:rPr>
          <w:rFonts w:ascii="Times New Roman" w:hAnsi="Times New Roman" w:cs="Times New Roman"/>
          <w:b/>
          <w:bCs/>
          <w:sz w:val="18"/>
          <w:szCs w:val="18"/>
        </w:rPr>
      </w:pPr>
      <w:r w:rsidRPr="00D00C4F">
        <w:rPr>
          <w:rFonts w:ascii="Times New Roman" w:hAnsi="Times New Roman" w:cs="Times New Roman"/>
          <w:b/>
          <w:bCs/>
          <w:sz w:val="18"/>
          <w:szCs w:val="18"/>
        </w:rPr>
        <w:t>Data</w:t>
      </w:r>
      <w:r w:rsidRPr="00D00C4F">
        <w:rPr>
          <w:rFonts w:ascii="Times New Roman" w:hAnsi="Times New Roman" w:cs="Times New Roman"/>
          <w:sz w:val="18"/>
          <w:szCs w:val="18"/>
        </w:rPr>
        <w:t xml:space="preserve"> </w:t>
      </w:r>
      <w:r w:rsidR="0065606B" w:rsidRPr="00D00C4F">
        <w:rPr>
          <w:rFonts w:ascii="Times New Roman" w:hAnsi="Times New Roman" w:cs="Times New Roman"/>
          <w:sz w:val="18"/>
          <w:szCs w:val="18"/>
        </w:rPr>
        <w:t xml:space="preserve">- </w:t>
      </w:r>
      <w:r w:rsidRPr="00D00C4F">
        <w:rPr>
          <w:rFonts w:ascii="Times New Roman" w:hAnsi="Times New Roman" w:cs="Times New Roman"/>
          <w:sz w:val="18"/>
          <w:szCs w:val="18"/>
        </w:rPr>
        <w:t xml:space="preserve">sourced from </w:t>
      </w:r>
      <w:hyperlink r:id="rId13" w:history="1">
        <w:r w:rsidRPr="00D00C4F">
          <w:rPr>
            <w:rStyle w:val="Hyperlink"/>
            <w:rFonts w:ascii="Times New Roman" w:hAnsi="Times New Roman" w:cs="Times New Roman"/>
            <w:sz w:val="18"/>
            <w:szCs w:val="18"/>
          </w:rPr>
          <w:t>Ourworldindata</w:t>
        </w:r>
      </w:hyperlink>
    </w:p>
    <w:p w14:paraId="1D75EAF9" w14:textId="6A576E9B" w:rsidR="00E6038E" w:rsidRPr="007916F4" w:rsidRDefault="00514DEA" w:rsidP="007916F4">
      <w:pPr>
        <w:pStyle w:val="NoSpacing"/>
        <w:numPr>
          <w:ilvl w:val="0"/>
          <w:numId w:val="30"/>
        </w:numPr>
        <w:rPr>
          <w:rFonts w:ascii="Times New Roman" w:hAnsi="Times New Roman" w:cs="Times New Roman"/>
          <w:sz w:val="18"/>
          <w:szCs w:val="18"/>
        </w:rPr>
      </w:pPr>
      <w:r w:rsidRPr="00D00C4F">
        <w:rPr>
          <w:rFonts w:ascii="Times New Roman" w:hAnsi="Times New Roman" w:cs="Times New Roman"/>
          <w:b/>
          <w:bCs/>
          <w:sz w:val="18"/>
          <w:szCs w:val="18"/>
        </w:rPr>
        <w:t xml:space="preserve">Forecasting </w:t>
      </w:r>
      <w:r w:rsidR="00E6038E" w:rsidRPr="00D00C4F">
        <w:rPr>
          <w:rFonts w:ascii="Times New Roman" w:hAnsi="Times New Roman" w:cs="Times New Roman"/>
          <w:sz w:val="18"/>
          <w:szCs w:val="18"/>
        </w:rPr>
        <w:t>All regions and categories were forecasted from 2023 to 2027, except for Saudi Arabia, which was forecasted from 2021 to 2027 due to limited data.</w:t>
      </w:r>
      <w:r w:rsidR="007916F4">
        <w:rPr>
          <w:rFonts w:ascii="Times New Roman" w:hAnsi="Times New Roman" w:cs="Times New Roman"/>
          <w:sz w:val="18"/>
          <w:szCs w:val="18"/>
        </w:rPr>
        <w:t xml:space="preserve"> </w:t>
      </w:r>
      <w:r w:rsidR="00E6038E" w:rsidRPr="007916F4">
        <w:rPr>
          <w:rFonts w:ascii="Times New Roman" w:hAnsi="Times New Roman" w:cs="Times New Roman"/>
          <w:sz w:val="18"/>
          <w:szCs w:val="18"/>
        </w:rPr>
        <w:t>Slight subjectivity was applied to two regions and categories.</w:t>
      </w:r>
    </w:p>
    <w:p w14:paraId="2BE6C895" w14:textId="39C2D59C" w:rsidR="00514DEA" w:rsidRPr="00D00C4F" w:rsidRDefault="00E6038E" w:rsidP="007916F4">
      <w:pPr>
        <w:pStyle w:val="NoSpacing"/>
        <w:ind w:left="720"/>
        <w:rPr>
          <w:rFonts w:ascii="Times New Roman" w:hAnsi="Times New Roman" w:cs="Times New Roman"/>
          <w:sz w:val="18"/>
          <w:szCs w:val="18"/>
        </w:rPr>
      </w:pPr>
      <w:r w:rsidRPr="00D00C4F">
        <w:rPr>
          <w:rFonts w:ascii="Times New Roman" w:hAnsi="Times New Roman" w:cs="Times New Roman"/>
          <w:sz w:val="18"/>
          <w:szCs w:val="18"/>
        </w:rPr>
        <w:t>For India and Saudi Arabia's renewable energy forecasts, the upper confidence bound was used due to their rapid advancements in this sector.</w:t>
      </w:r>
      <w:r w:rsidR="007916F4">
        <w:rPr>
          <w:rFonts w:ascii="Times New Roman" w:hAnsi="Times New Roman" w:cs="Times New Roman"/>
          <w:sz w:val="18"/>
          <w:szCs w:val="18"/>
        </w:rPr>
        <w:t xml:space="preserve"> </w:t>
      </w:r>
      <w:r w:rsidRPr="00D00C4F">
        <w:rPr>
          <w:rFonts w:ascii="Times New Roman" w:hAnsi="Times New Roman" w:cs="Times New Roman"/>
          <w:sz w:val="18"/>
          <w:szCs w:val="18"/>
        </w:rPr>
        <w:t>Point (middle) forecasting was used for all other categories and regions.</w:t>
      </w:r>
    </w:p>
    <w:p w14:paraId="60A3F1AE" w14:textId="62AEABBD" w:rsidR="00467D7B" w:rsidRPr="00D00C4F" w:rsidRDefault="00467D7B" w:rsidP="00D00C4F">
      <w:pPr>
        <w:pStyle w:val="NoSpacing"/>
        <w:numPr>
          <w:ilvl w:val="0"/>
          <w:numId w:val="30"/>
        </w:numPr>
        <w:rPr>
          <w:rFonts w:ascii="Times New Roman" w:hAnsi="Times New Roman" w:cs="Times New Roman"/>
          <w:b/>
          <w:bCs/>
          <w:sz w:val="18"/>
          <w:szCs w:val="18"/>
        </w:rPr>
      </w:pPr>
      <w:r w:rsidRPr="00D00C4F">
        <w:rPr>
          <w:rFonts w:ascii="Times New Roman" w:hAnsi="Times New Roman" w:cs="Times New Roman"/>
          <w:b/>
          <w:bCs/>
          <w:sz w:val="18"/>
          <w:szCs w:val="18"/>
        </w:rPr>
        <w:t>Primary Energy</w:t>
      </w:r>
      <w:r w:rsidR="00037030" w:rsidRPr="00D00C4F">
        <w:rPr>
          <w:rFonts w:ascii="Times New Roman" w:hAnsi="Times New Roman" w:cs="Times New Roman"/>
          <w:b/>
          <w:bCs/>
          <w:sz w:val="18"/>
          <w:szCs w:val="18"/>
        </w:rPr>
        <w:t xml:space="preserve"> </w:t>
      </w:r>
      <w:r w:rsidRPr="00D00C4F">
        <w:rPr>
          <w:rFonts w:ascii="Times New Roman" w:hAnsi="Times New Roman" w:cs="Times New Roman"/>
          <w:sz w:val="18"/>
          <w:szCs w:val="18"/>
        </w:rPr>
        <w:t>Primary energy consists of raw fuels such as coal, crude oil, natural gas, uranium, and other resources directly extracted from the environment.</w:t>
      </w:r>
      <w:r w:rsidR="00406B85" w:rsidRPr="00D00C4F">
        <w:rPr>
          <w:rFonts w:ascii="Times New Roman" w:hAnsi="Times New Roman" w:cs="Times New Roman"/>
          <w:sz w:val="18"/>
          <w:szCs w:val="18"/>
        </w:rPr>
        <w:t xml:space="preserve"> For this chart </w:t>
      </w:r>
      <w:r w:rsidR="00A52FA1" w:rsidRPr="00D00C4F">
        <w:rPr>
          <w:rFonts w:ascii="Times New Roman" w:hAnsi="Times New Roman" w:cs="Times New Roman"/>
          <w:sz w:val="18"/>
          <w:szCs w:val="18"/>
        </w:rPr>
        <w:t xml:space="preserve">we </w:t>
      </w:r>
      <w:r w:rsidR="00E41650" w:rsidRPr="00D00C4F">
        <w:rPr>
          <w:rFonts w:ascii="Times New Roman" w:hAnsi="Times New Roman" w:cs="Times New Roman"/>
          <w:sz w:val="18"/>
          <w:szCs w:val="18"/>
        </w:rPr>
        <w:t>separated</w:t>
      </w:r>
      <w:r w:rsidR="00A52FA1" w:rsidRPr="00D00C4F">
        <w:rPr>
          <w:rFonts w:ascii="Times New Roman" w:hAnsi="Times New Roman" w:cs="Times New Roman"/>
          <w:sz w:val="18"/>
          <w:szCs w:val="18"/>
        </w:rPr>
        <w:t xml:space="preserve"> any renewables from </w:t>
      </w:r>
      <w:r w:rsidR="0065606B" w:rsidRPr="00D00C4F">
        <w:rPr>
          <w:rFonts w:ascii="Times New Roman" w:hAnsi="Times New Roman" w:cs="Times New Roman"/>
          <w:sz w:val="18"/>
          <w:szCs w:val="18"/>
        </w:rPr>
        <w:t>coal</w:t>
      </w:r>
      <w:r w:rsidR="00A52FA1" w:rsidRPr="00D00C4F">
        <w:rPr>
          <w:rFonts w:ascii="Times New Roman" w:hAnsi="Times New Roman" w:cs="Times New Roman"/>
          <w:sz w:val="18"/>
          <w:szCs w:val="18"/>
        </w:rPr>
        <w:t xml:space="preserve">, natural gas and </w:t>
      </w:r>
      <w:r w:rsidR="00E41650" w:rsidRPr="00D00C4F">
        <w:rPr>
          <w:rFonts w:ascii="Times New Roman" w:hAnsi="Times New Roman" w:cs="Times New Roman"/>
          <w:sz w:val="18"/>
          <w:szCs w:val="18"/>
        </w:rPr>
        <w:t xml:space="preserve">crude. </w:t>
      </w:r>
    </w:p>
    <w:p w14:paraId="3B80AF88" w14:textId="223DFA59" w:rsidR="00467D7B" w:rsidRPr="00D00C4F" w:rsidRDefault="00467D7B" w:rsidP="00D00C4F">
      <w:pPr>
        <w:pStyle w:val="NoSpacing"/>
        <w:numPr>
          <w:ilvl w:val="0"/>
          <w:numId w:val="30"/>
        </w:numPr>
        <w:rPr>
          <w:rFonts w:ascii="Times New Roman" w:hAnsi="Times New Roman" w:cs="Times New Roman"/>
          <w:b/>
          <w:bCs/>
          <w:sz w:val="18"/>
          <w:szCs w:val="18"/>
        </w:rPr>
      </w:pPr>
      <w:r w:rsidRPr="00D00C4F">
        <w:rPr>
          <w:rFonts w:ascii="Times New Roman" w:hAnsi="Times New Roman" w:cs="Times New Roman"/>
          <w:b/>
          <w:bCs/>
          <w:sz w:val="18"/>
          <w:szCs w:val="18"/>
        </w:rPr>
        <w:t>GDP Per Capita</w:t>
      </w:r>
      <w:r w:rsidR="00037030" w:rsidRPr="00D00C4F">
        <w:rPr>
          <w:rFonts w:ascii="Times New Roman" w:hAnsi="Times New Roman" w:cs="Times New Roman"/>
          <w:b/>
          <w:bCs/>
          <w:sz w:val="18"/>
          <w:szCs w:val="18"/>
        </w:rPr>
        <w:t xml:space="preserve"> </w:t>
      </w:r>
      <w:r w:rsidRPr="00D00C4F">
        <w:rPr>
          <w:rFonts w:ascii="Times New Roman" w:hAnsi="Times New Roman" w:cs="Times New Roman"/>
          <w:sz w:val="18"/>
          <w:szCs w:val="18"/>
        </w:rPr>
        <w:t>GDP per capita is calculated by dividing a country's total gross domestic product (GDP) by its population.</w:t>
      </w:r>
    </w:p>
    <w:p w14:paraId="27A47F5E" w14:textId="26718EFF" w:rsidR="00467D7B" w:rsidRPr="00D00C4F" w:rsidRDefault="00467D7B" w:rsidP="00D00C4F">
      <w:pPr>
        <w:pStyle w:val="NoSpacing"/>
        <w:numPr>
          <w:ilvl w:val="0"/>
          <w:numId w:val="30"/>
        </w:numPr>
        <w:rPr>
          <w:rFonts w:ascii="Times New Roman" w:hAnsi="Times New Roman" w:cs="Times New Roman"/>
          <w:b/>
          <w:bCs/>
          <w:sz w:val="18"/>
          <w:szCs w:val="18"/>
        </w:rPr>
      </w:pPr>
      <w:r w:rsidRPr="00D00C4F">
        <w:rPr>
          <w:rFonts w:ascii="Times New Roman" w:hAnsi="Times New Roman" w:cs="Times New Roman"/>
          <w:b/>
          <w:bCs/>
          <w:sz w:val="18"/>
          <w:szCs w:val="18"/>
        </w:rPr>
        <w:t>Renewables</w:t>
      </w:r>
      <w:r w:rsidR="00037030" w:rsidRPr="00D00C4F">
        <w:rPr>
          <w:rFonts w:ascii="Times New Roman" w:hAnsi="Times New Roman" w:cs="Times New Roman"/>
          <w:b/>
          <w:bCs/>
          <w:sz w:val="18"/>
          <w:szCs w:val="18"/>
        </w:rPr>
        <w:t xml:space="preserve"> </w:t>
      </w:r>
      <w:r w:rsidRPr="00D00C4F">
        <w:rPr>
          <w:rFonts w:ascii="Times New Roman" w:hAnsi="Times New Roman" w:cs="Times New Roman"/>
          <w:sz w:val="18"/>
          <w:szCs w:val="18"/>
        </w:rPr>
        <w:t>In this data, renewables include hydroelectric power, solar, wind, and nuclear energy sources for each country.</w:t>
      </w:r>
    </w:p>
    <w:p w14:paraId="557EED88" w14:textId="77777777" w:rsidR="006650A6" w:rsidRDefault="006650A6" w:rsidP="006E11DE">
      <w:pPr>
        <w:pStyle w:val="NoSpacing"/>
        <w:rPr>
          <w:rFonts w:ascii="Times New Roman" w:hAnsi="Times New Roman" w:cs="Times New Roman"/>
          <w:b/>
          <w:bCs/>
          <w:sz w:val="23"/>
          <w:szCs w:val="23"/>
          <w:u w:val="single"/>
        </w:rPr>
      </w:pPr>
    </w:p>
    <w:p w14:paraId="03D48D19" w14:textId="28656921" w:rsidR="004A2254" w:rsidRPr="0021579C" w:rsidRDefault="00E2792B" w:rsidP="006E11DE">
      <w:pPr>
        <w:pStyle w:val="NoSpacing"/>
        <w:rPr>
          <w:rFonts w:ascii="Times New Roman" w:hAnsi="Times New Roman" w:cs="Times New Roman"/>
          <w:b/>
          <w:bCs/>
          <w:sz w:val="24"/>
          <w:szCs w:val="24"/>
          <w:u w:val="single"/>
        </w:rPr>
      </w:pPr>
      <w:r w:rsidRPr="0021579C">
        <w:rPr>
          <w:rFonts w:ascii="Times New Roman" w:hAnsi="Times New Roman" w:cs="Times New Roman"/>
          <w:b/>
          <w:bCs/>
          <w:sz w:val="24"/>
          <w:szCs w:val="24"/>
          <w:u w:val="single"/>
        </w:rPr>
        <w:t xml:space="preserve">Patterns and Insights </w:t>
      </w:r>
    </w:p>
    <w:p w14:paraId="4DEAD367" w14:textId="77777777" w:rsidR="00C040E7" w:rsidRDefault="00C040E7" w:rsidP="006E11DE">
      <w:pPr>
        <w:pStyle w:val="NoSpacing"/>
        <w:rPr>
          <w:rFonts w:ascii="Times New Roman" w:hAnsi="Times New Roman" w:cs="Times New Roman"/>
          <w:sz w:val="23"/>
          <w:szCs w:val="23"/>
        </w:rPr>
      </w:pPr>
    </w:p>
    <w:p w14:paraId="5C1F8D22" w14:textId="6C6E1E5D" w:rsidR="00E2792B" w:rsidRPr="00E2792B" w:rsidRDefault="00E2792B" w:rsidP="00E2792B">
      <w:pPr>
        <w:pStyle w:val="NoSpacing"/>
        <w:rPr>
          <w:rFonts w:ascii="Times New Roman" w:hAnsi="Times New Roman" w:cs="Times New Roman"/>
          <w:sz w:val="23"/>
          <w:szCs w:val="23"/>
        </w:rPr>
      </w:pPr>
      <w:r w:rsidRPr="00E2792B">
        <w:rPr>
          <w:rFonts w:ascii="Times New Roman" w:hAnsi="Times New Roman" w:cs="Times New Roman"/>
          <w:sz w:val="23"/>
          <w:szCs w:val="23"/>
        </w:rPr>
        <w:t>Clear patterns are emerging</w:t>
      </w:r>
      <w:r>
        <w:rPr>
          <w:rFonts w:ascii="Times New Roman" w:hAnsi="Times New Roman" w:cs="Times New Roman"/>
          <w:sz w:val="23"/>
          <w:szCs w:val="23"/>
        </w:rPr>
        <w:t>.</w:t>
      </w:r>
      <w:r w:rsidRPr="00E2792B">
        <w:rPr>
          <w:rFonts w:ascii="Times New Roman" w:hAnsi="Times New Roman" w:cs="Times New Roman"/>
          <w:sz w:val="23"/>
          <w:szCs w:val="23"/>
        </w:rPr>
        <w:t xml:space="preserve"> </w:t>
      </w:r>
      <w:r>
        <w:rPr>
          <w:rFonts w:ascii="Times New Roman" w:hAnsi="Times New Roman" w:cs="Times New Roman"/>
          <w:sz w:val="23"/>
          <w:szCs w:val="23"/>
        </w:rPr>
        <w:t>P</w:t>
      </w:r>
      <w:r w:rsidRPr="00E2792B">
        <w:rPr>
          <w:rFonts w:ascii="Times New Roman" w:hAnsi="Times New Roman" w:cs="Times New Roman"/>
          <w:sz w:val="23"/>
          <w:szCs w:val="23"/>
        </w:rPr>
        <w:t>rimary energy consumption continues to outpace renewables by significant margin</w:t>
      </w:r>
      <w:r>
        <w:rPr>
          <w:rFonts w:ascii="Times New Roman" w:hAnsi="Times New Roman" w:cs="Times New Roman"/>
          <w:sz w:val="23"/>
          <w:szCs w:val="23"/>
        </w:rPr>
        <w:t>s, so much so, that none of the East regions surpassed 10% energy consumption</w:t>
      </w:r>
      <w:r w:rsidR="00522929">
        <w:rPr>
          <w:rFonts w:ascii="Times New Roman" w:hAnsi="Times New Roman" w:cs="Times New Roman"/>
          <w:sz w:val="23"/>
          <w:szCs w:val="23"/>
        </w:rPr>
        <w:t xml:space="preserve"> using </w:t>
      </w:r>
      <w:r>
        <w:rPr>
          <w:rFonts w:ascii="Times New Roman" w:hAnsi="Times New Roman" w:cs="Times New Roman"/>
          <w:sz w:val="23"/>
          <w:szCs w:val="23"/>
        </w:rPr>
        <w:t>renewables.</w:t>
      </w:r>
      <w:r w:rsidRPr="00E2792B">
        <w:rPr>
          <w:rFonts w:ascii="Times New Roman" w:hAnsi="Times New Roman" w:cs="Times New Roman"/>
          <w:sz w:val="23"/>
          <w:szCs w:val="23"/>
        </w:rPr>
        <w:t xml:space="preserve"> It's also notable that GDP is on an upward trajectory </w:t>
      </w:r>
      <w:r w:rsidR="0019027B">
        <w:rPr>
          <w:rFonts w:ascii="Times New Roman" w:hAnsi="Times New Roman" w:cs="Times New Roman"/>
          <w:sz w:val="23"/>
          <w:szCs w:val="23"/>
        </w:rPr>
        <w:t xml:space="preserve">and more in sync with Primary Energy Consumption. </w:t>
      </w:r>
    </w:p>
    <w:p w14:paraId="711B3DAA" w14:textId="2AC5D67F" w:rsidR="00E2792B" w:rsidRPr="00E2792B" w:rsidRDefault="00E2792B" w:rsidP="00E2792B">
      <w:pPr>
        <w:pStyle w:val="NoSpacing"/>
        <w:rPr>
          <w:rFonts w:ascii="Times New Roman" w:hAnsi="Times New Roman" w:cs="Times New Roman"/>
          <w:sz w:val="23"/>
          <w:szCs w:val="23"/>
        </w:rPr>
      </w:pPr>
    </w:p>
    <w:p w14:paraId="19E9AB35" w14:textId="02C2859B" w:rsidR="0022366F" w:rsidRDefault="00FA666C" w:rsidP="00754CB0">
      <w:pPr>
        <w:pStyle w:val="NoSpacing"/>
        <w:rPr>
          <w:rFonts w:ascii="Times New Roman" w:hAnsi="Times New Roman" w:cs="Times New Roman"/>
          <w:sz w:val="23"/>
          <w:szCs w:val="23"/>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693056" behindDoc="0" locked="0" layoutInCell="1" allowOverlap="1" wp14:anchorId="32C9DDD2" wp14:editId="3EAEEB30">
                <wp:simplePos x="0" y="0"/>
                <wp:positionH relativeFrom="page">
                  <wp:align>right</wp:align>
                </wp:positionH>
                <wp:positionV relativeFrom="paragraph">
                  <wp:posOffset>1042562</wp:posOffset>
                </wp:positionV>
                <wp:extent cx="7771561" cy="85569"/>
                <wp:effectExtent l="0" t="0" r="20320" b="10160"/>
                <wp:wrapNone/>
                <wp:docPr id="1133926581" name="Rectangle: Diagonal Corners Rounded 8"/>
                <wp:cNvGraphicFramePr/>
                <a:graphic xmlns:a="http://schemas.openxmlformats.org/drawingml/2006/main">
                  <a:graphicData uri="http://schemas.microsoft.com/office/word/2010/wordprocessingShape">
                    <wps:wsp>
                      <wps:cNvSpPr/>
                      <wps:spPr>
                        <a:xfrm>
                          <a:off x="0" y="0"/>
                          <a:ext cx="7771561" cy="85569"/>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BC52" id="Rectangle: Diagonal Corners Rounded 8" o:spid="_x0000_s1026" style="position:absolute;margin-left:560.75pt;margin-top:82.1pt;width:611.95pt;height:6.75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771561,8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" path="m14262,l7771561,r,l7771561,71307v,7877,-6385,14262,-14262,14262l,85569r,l,14262c,6385,6385,,14262,xe" fillcolor="#404040 [2429]" strokecolor="#030e13 [484]" strokeweight="1pt">
                <v:stroke joinstyle="miter"/>
                <v:path arrowok="t" o:connecttype="custom" o:connectlocs="14262,0;7771561,0;7771561,0;7771561,71307;7757299,85569;0,85569;0,85569;0,14262;14262,0" o:connectangles="0,0,0,0,0,0,0,0,0"/>
                <w10:wrap anchorx="page"/>
              </v:shape>
            </w:pict>
          </mc:Fallback>
        </mc:AlternateContent>
      </w:r>
    </w:p>
    <w:p w14:paraId="7576EEEB" w14:textId="6EB8A0E8" w:rsidR="0022366F" w:rsidRDefault="0022366F" w:rsidP="00754CB0">
      <w:pPr>
        <w:pStyle w:val="NoSpacing"/>
        <w:rPr>
          <w:rFonts w:ascii="Times New Roman" w:hAnsi="Times New Roman" w:cs="Times New Roman"/>
          <w:sz w:val="23"/>
          <w:szCs w:val="23"/>
          <w:u w:val="single"/>
        </w:rPr>
      </w:pPr>
      <w:r>
        <w:rPr>
          <w:noProof/>
        </w:rPr>
        <w:lastRenderedPageBreak/>
        <mc:AlternateContent>
          <mc:Choice Requires="wps">
            <w:drawing>
              <wp:anchor distT="0" distB="0" distL="114300" distR="114300" simplePos="0" relativeHeight="251675648" behindDoc="0" locked="0" layoutInCell="1" allowOverlap="1" wp14:anchorId="3C01E815" wp14:editId="27AD2053">
                <wp:simplePos x="0" y="0"/>
                <wp:positionH relativeFrom="page">
                  <wp:align>left</wp:align>
                </wp:positionH>
                <wp:positionV relativeFrom="paragraph">
                  <wp:posOffset>-853285</wp:posOffset>
                </wp:positionV>
                <wp:extent cx="7755148" cy="77637"/>
                <wp:effectExtent l="0" t="0" r="17780" b="17780"/>
                <wp:wrapNone/>
                <wp:docPr id="737196002" name="Rectangle 7"/>
                <wp:cNvGraphicFramePr/>
                <a:graphic xmlns:a="http://schemas.openxmlformats.org/drawingml/2006/main">
                  <a:graphicData uri="http://schemas.microsoft.com/office/word/2010/wordprocessingShape">
                    <wps:wsp>
                      <wps:cNvSpPr/>
                      <wps:spPr>
                        <a:xfrm>
                          <a:off x="0" y="0"/>
                          <a:ext cx="7755148" cy="77637"/>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51DB6" id="Rectangle 7" o:spid="_x0000_s1026" style="position:absolute;margin-left:0;margin-top:-67.2pt;width:610.65pt;height:6.1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" fillcolor="#a50021" strokecolor="#030e13 [484]" strokeweight="1pt">
                <w10:wrap anchorx="page"/>
              </v:rect>
            </w:pict>
          </mc:Fallback>
        </mc:AlternateContent>
      </w:r>
    </w:p>
    <w:p w14:paraId="20DBA3EB" w14:textId="3459D617" w:rsidR="007916F4" w:rsidRDefault="00E2792B" w:rsidP="00754CB0">
      <w:pPr>
        <w:pStyle w:val="NoSpacing"/>
        <w:rPr>
          <w:rFonts w:ascii="Times New Roman" w:hAnsi="Times New Roman" w:cs="Times New Roman"/>
          <w:sz w:val="23"/>
          <w:szCs w:val="23"/>
        </w:rPr>
      </w:pPr>
      <w:r w:rsidRPr="00754CB0">
        <w:rPr>
          <w:rFonts w:ascii="Times New Roman" w:hAnsi="Times New Roman" w:cs="Times New Roman"/>
          <w:sz w:val="23"/>
          <w:szCs w:val="23"/>
          <w:u w:val="single"/>
        </w:rPr>
        <w:t>Renewable Energy Gap</w:t>
      </w:r>
      <w:r>
        <w:rPr>
          <w:rFonts w:ascii="Times New Roman" w:hAnsi="Times New Roman" w:cs="Times New Roman"/>
          <w:sz w:val="23"/>
          <w:szCs w:val="23"/>
        </w:rPr>
        <w:t>-</w:t>
      </w:r>
      <w:r w:rsidRPr="00E2792B">
        <w:rPr>
          <w:rFonts w:ascii="Times New Roman" w:hAnsi="Times New Roman" w:cs="Times New Roman"/>
          <w:sz w:val="23"/>
          <w:szCs w:val="23"/>
        </w:rPr>
        <w:t xml:space="preserve"> The gap between primary energy consumption and renewable energy remains substantial. For Eastern regions combined, the average gap from 2017 to 2027 is 92%. This indicates that, on average, renewables account for only 8% of the primary energy needs in these regions.</w:t>
      </w:r>
    </w:p>
    <w:p w14:paraId="18490EAD" w14:textId="11FC8DE1" w:rsidR="00E2792B" w:rsidRDefault="00E2792B" w:rsidP="00754CB0">
      <w:pPr>
        <w:pStyle w:val="NoSpacing"/>
        <w:rPr>
          <w:rFonts w:ascii="Times New Roman" w:hAnsi="Times New Roman" w:cs="Times New Roman"/>
          <w:sz w:val="23"/>
          <w:szCs w:val="23"/>
        </w:rPr>
      </w:pPr>
      <w:r w:rsidRPr="00754CB0">
        <w:rPr>
          <w:rFonts w:ascii="Times New Roman" w:hAnsi="Times New Roman" w:cs="Times New Roman"/>
          <w:sz w:val="23"/>
          <w:szCs w:val="23"/>
          <w:u w:val="single"/>
        </w:rPr>
        <w:t>Regional Leader</w:t>
      </w:r>
      <w:r>
        <w:rPr>
          <w:rFonts w:ascii="Times New Roman" w:hAnsi="Times New Roman" w:cs="Times New Roman"/>
          <w:sz w:val="23"/>
          <w:szCs w:val="23"/>
        </w:rPr>
        <w:t>-</w:t>
      </w:r>
      <w:r w:rsidRPr="00E2792B">
        <w:rPr>
          <w:rFonts w:ascii="Times New Roman" w:hAnsi="Times New Roman" w:cs="Times New Roman"/>
          <w:sz w:val="23"/>
          <w:szCs w:val="23"/>
        </w:rPr>
        <w:t xml:space="preserve"> China stands out as the most improved in terms of renewable energy adoption among Eastern regions. It leads in both primary energy consumption and renewable energy capacity</w:t>
      </w:r>
      <w:r w:rsidR="00D536F7">
        <w:rPr>
          <w:rFonts w:ascii="Times New Roman" w:hAnsi="Times New Roman" w:cs="Times New Roman"/>
          <w:sz w:val="23"/>
          <w:szCs w:val="23"/>
        </w:rPr>
        <w:t>.</w:t>
      </w:r>
    </w:p>
    <w:p w14:paraId="4F6B8432" w14:textId="77777777" w:rsidR="00D536F7" w:rsidRPr="00E2792B" w:rsidRDefault="00D536F7" w:rsidP="00754CB0">
      <w:pPr>
        <w:pStyle w:val="NoSpacing"/>
        <w:rPr>
          <w:rFonts w:ascii="Times New Roman" w:hAnsi="Times New Roman" w:cs="Times New Roman"/>
          <w:sz w:val="23"/>
          <w:szCs w:val="23"/>
        </w:rPr>
      </w:pPr>
    </w:p>
    <w:p w14:paraId="094767CE" w14:textId="28886DBD" w:rsidR="00E2792B" w:rsidRPr="00E2792B" w:rsidRDefault="00E2792B" w:rsidP="00754CB0">
      <w:pPr>
        <w:pStyle w:val="NoSpacing"/>
        <w:rPr>
          <w:rFonts w:ascii="Times New Roman" w:hAnsi="Times New Roman" w:cs="Times New Roman"/>
          <w:sz w:val="23"/>
          <w:szCs w:val="23"/>
        </w:rPr>
      </w:pPr>
      <w:r w:rsidRPr="00754CB0">
        <w:rPr>
          <w:rFonts w:ascii="Times New Roman" w:hAnsi="Times New Roman" w:cs="Times New Roman"/>
          <w:sz w:val="23"/>
          <w:szCs w:val="23"/>
          <w:u w:val="single"/>
        </w:rPr>
        <w:t>Future Outlook</w:t>
      </w:r>
      <w:r w:rsidRPr="00E2792B">
        <w:rPr>
          <w:rFonts w:ascii="Times New Roman" w:hAnsi="Times New Roman" w:cs="Times New Roman"/>
          <w:sz w:val="23"/>
          <w:szCs w:val="23"/>
        </w:rPr>
        <w:t>- The continued rise in GDP across all regions underscores the growing energy demand</w:t>
      </w:r>
      <w:r>
        <w:rPr>
          <w:rFonts w:ascii="Times New Roman" w:hAnsi="Times New Roman" w:cs="Times New Roman"/>
          <w:sz w:val="23"/>
          <w:szCs w:val="23"/>
        </w:rPr>
        <w:t xml:space="preserve">. Geopolitics and future policy </w:t>
      </w:r>
      <w:r w:rsidR="00522929">
        <w:rPr>
          <w:rFonts w:ascii="Times New Roman" w:hAnsi="Times New Roman" w:cs="Times New Roman"/>
          <w:sz w:val="23"/>
          <w:szCs w:val="23"/>
        </w:rPr>
        <w:t xml:space="preserve">will be the primary moves of growth for both types of energy going forward. </w:t>
      </w:r>
    </w:p>
    <w:p w14:paraId="4A605B7C" w14:textId="77777777" w:rsidR="00E2792B" w:rsidRDefault="00E2792B" w:rsidP="006E11DE">
      <w:pPr>
        <w:pStyle w:val="NoSpacing"/>
        <w:rPr>
          <w:rFonts w:ascii="Times New Roman" w:hAnsi="Times New Roman" w:cs="Times New Roman"/>
          <w:sz w:val="23"/>
          <w:szCs w:val="23"/>
        </w:rPr>
      </w:pPr>
    </w:p>
    <w:p w14:paraId="0E5C9849" w14:textId="77777777" w:rsidR="00E2792B" w:rsidRDefault="00E2792B" w:rsidP="006E11DE">
      <w:pPr>
        <w:pStyle w:val="NoSpacing"/>
        <w:rPr>
          <w:rFonts w:ascii="Times New Roman" w:hAnsi="Times New Roman" w:cs="Times New Roman"/>
          <w:sz w:val="23"/>
          <w:szCs w:val="23"/>
        </w:rPr>
      </w:pPr>
    </w:p>
    <w:p w14:paraId="019B83A8" w14:textId="77777777" w:rsidR="00E2792B" w:rsidRDefault="00E2792B" w:rsidP="006E11DE">
      <w:pPr>
        <w:pStyle w:val="NoSpacing"/>
        <w:rPr>
          <w:rFonts w:ascii="Times New Roman" w:hAnsi="Times New Roman" w:cs="Times New Roman"/>
          <w:sz w:val="23"/>
          <w:szCs w:val="23"/>
        </w:rPr>
      </w:pPr>
    </w:p>
    <w:p w14:paraId="2EB04455" w14:textId="77777777" w:rsidR="006650A6" w:rsidRDefault="006650A6" w:rsidP="006E11DE">
      <w:pPr>
        <w:pStyle w:val="NoSpacing"/>
        <w:rPr>
          <w:rFonts w:ascii="Times New Roman" w:hAnsi="Times New Roman" w:cs="Times New Roman"/>
          <w:b/>
          <w:bCs/>
          <w:sz w:val="23"/>
          <w:szCs w:val="23"/>
          <w:u w:val="single"/>
        </w:rPr>
      </w:pPr>
    </w:p>
    <w:p w14:paraId="3E5C1883" w14:textId="3B3A495F" w:rsidR="001C35DF" w:rsidRPr="0021579C" w:rsidRDefault="001C35DF" w:rsidP="006E11DE">
      <w:pPr>
        <w:pStyle w:val="NoSpacing"/>
        <w:rPr>
          <w:rFonts w:ascii="Times New Roman" w:hAnsi="Times New Roman" w:cs="Times New Roman"/>
          <w:b/>
          <w:bCs/>
          <w:sz w:val="24"/>
          <w:szCs w:val="24"/>
          <w:u w:val="single"/>
        </w:rPr>
      </w:pPr>
      <w:r w:rsidRPr="0021579C">
        <w:rPr>
          <w:rFonts w:ascii="Times New Roman" w:hAnsi="Times New Roman" w:cs="Times New Roman"/>
          <w:b/>
          <w:bCs/>
          <w:sz w:val="24"/>
          <w:szCs w:val="24"/>
          <w:u w:val="single"/>
        </w:rPr>
        <w:t xml:space="preserve">Renewable Goals and </w:t>
      </w:r>
      <w:r w:rsidR="00522929" w:rsidRPr="0021579C">
        <w:rPr>
          <w:rFonts w:ascii="Times New Roman" w:hAnsi="Times New Roman" w:cs="Times New Roman"/>
          <w:b/>
          <w:bCs/>
          <w:sz w:val="24"/>
          <w:szCs w:val="24"/>
          <w:u w:val="single"/>
        </w:rPr>
        <w:t>Commitmen</w:t>
      </w:r>
      <w:r w:rsidR="00FA4106" w:rsidRPr="0021579C">
        <w:rPr>
          <w:rFonts w:ascii="Times New Roman" w:hAnsi="Times New Roman" w:cs="Times New Roman"/>
          <w:b/>
          <w:bCs/>
          <w:sz w:val="24"/>
          <w:szCs w:val="24"/>
          <w:u w:val="single"/>
        </w:rPr>
        <w:t xml:space="preserve">ts </w:t>
      </w:r>
      <w:r w:rsidR="00522929" w:rsidRPr="0021579C">
        <w:rPr>
          <w:rFonts w:ascii="Times New Roman" w:hAnsi="Times New Roman" w:cs="Times New Roman"/>
          <w:b/>
          <w:bCs/>
          <w:sz w:val="24"/>
          <w:szCs w:val="24"/>
          <w:u w:val="single"/>
        </w:rPr>
        <w:t xml:space="preserve"> </w:t>
      </w:r>
      <w:r w:rsidRPr="0021579C">
        <w:rPr>
          <w:rFonts w:ascii="Times New Roman" w:hAnsi="Times New Roman" w:cs="Times New Roman"/>
          <w:b/>
          <w:bCs/>
          <w:sz w:val="24"/>
          <w:szCs w:val="24"/>
          <w:u w:val="single"/>
        </w:rPr>
        <w:t xml:space="preserve"> </w:t>
      </w:r>
    </w:p>
    <w:p w14:paraId="01D84091" w14:textId="77777777" w:rsidR="004A2254" w:rsidRDefault="004A2254" w:rsidP="006E11DE">
      <w:pPr>
        <w:pStyle w:val="NoSpacing"/>
        <w:rPr>
          <w:rFonts w:ascii="Times New Roman" w:hAnsi="Times New Roman" w:cs="Times New Roman"/>
          <w:sz w:val="23"/>
          <w:szCs w:val="23"/>
        </w:rPr>
      </w:pPr>
    </w:p>
    <w:p w14:paraId="4C753283" w14:textId="77777777" w:rsidR="00D00C4F" w:rsidRDefault="00D807CB" w:rsidP="00A5384E">
      <w:pPr>
        <w:pStyle w:val="NoSpacing"/>
        <w:rPr>
          <w:rFonts w:ascii="Times New Roman" w:hAnsi="Times New Roman" w:cs="Times New Roman"/>
          <w:sz w:val="23"/>
          <w:szCs w:val="23"/>
          <w:u w:val="single"/>
        </w:rPr>
      </w:pPr>
      <w:r w:rsidRPr="0090386A">
        <w:rPr>
          <w:rFonts w:ascii="Times New Roman" w:hAnsi="Times New Roman" w:cs="Times New Roman"/>
          <w:sz w:val="23"/>
          <w:szCs w:val="23"/>
          <w:u w:val="single"/>
        </w:rPr>
        <w:t>Saudia Arabia</w:t>
      </w:r>
    </w:p>
    <w:p w14:paraId="36EEEB97" w14:textId="7FCFA544" w:rsidR="00A5384E" w:rsidRPr="00A5384E" w:rsidRDefault="00D00C4F" w:rsidP="00A5384E">
      <w:pPr>
        <w:pStyle w:val="NoSpacing"/>
        <w:rPr>
          <w:rFonts w:ascii="Times New Roman" w:hAnsi="Times New Roman" w:cs="Times New Roman"/>
          <w:sz w:val="23"/>
          <w:szCs w:val="23"/>
        </w:rPr>
      </w:pPr>
      <w:r>
        <w:rPr>
          <w:rFonts w:ascii="Times New Roman" w:hAnsi="Times New Roman" w:cs="Times New Roman"/>
          <w:sz w:val="23"/>
          <w:szCs w:val="23"/>
        </w:rPr>
        <w:t>Saudia Arabia’s v</w:t>
      </w:r>
      <w:r w:rsidR="007D46A7">
        <w:rPr>
          <w:rFonts w:ascii="Times New Roman" w:hAnsi="Times New Roman" w:cs="Times New Roman"/>
          <w:sz w:val="23"/>
          <w:szCs w:val="23"/>
        </w:rPr>
        <w:t>ision</w:t>
      </w:r>
      <w:r w:rsidR="00A5384E" w:rsidRPr="00A5384E">
        <w:rPr>
          <w:rFonts w:ascii="Times New Roman" w:hAnsi="Times New Roman" w:cs="Times New Roman"/>
          <w:sz w:val="23"/>
          <w:szCs w:val="23"/>
        </w:rPr>
        <w:t xml:space="preserve"> 2030 aims to diversify its economy and reduce its dependence on oil. The Kingdom plans to generate 50% of its energy from renewables by 2030.</w:t>
      </w:r>
      <w:r w:rsidR="0065606B">
        <w:rPr>
          <w:rFonts w:ascii="Times New Roman" w:hAnsi="Times New Roman" w:cs="Times New Roman"/>
          <w:sz w:val="23"/>
          <w:szCs w:val="23"/>
        </w:rPr>
        <w:t xml:space="preserve"> Saudia Arabia had almost a 300% increase in Renewable Energy consumption from 2020-2021</w:t>
      </w:r>
    </w:p>
    <w:p w14:paraId="139C0886" w14:textId="39C910F9" w:rsidR="00D807CB" w:rsidRPr="00A5384E" w:rsidRDefault="00A5384E" w:rsidP="00A5384E">
      <w:pPr>
        <w:pStyle w:val="NoSpacing"/>
        <w:rPr>
          <w:rFonts w:ascii="Times New Roman" w:hAnsi="Times New Roman" w:cs="Times New Roman"/>
          <w:sz w:val="23"/>
          <w:szCs w:val="23"/>
        </w:rPr>
      </w:pPr>
      <w:r w:rsidRPr="00A5384E">
        <w:rPr>
          <w:rFonts w:ascii="Times New Roman" w:hAnsi="Times New Roman" w:cs="Times New Roman"/>
          <w:sz w:val="23"/>
          <w:szCs w:val="23"/>
        </w:rPr>
        <w:t>The NEOM Project. The $500 billion project includes plans for a 100% renewable energy-powered city. Saudi Arabia is investing heavily in solar and wind projects, including the 2.6 GW Al Shuaibah solar project and the Dumat Al Jandal wind farm, the largest in the Middle East.</w:t>
      </w:r>
    </w:p>
    <w:p w14:paraId="659C831A" w14:textId="77777777" w:rsidR="00D807CB" w:rsidRDefault="00D807CB" w:rsidP="008B71BD">
      <w:pPr>
        <w:pStyle w:val="NoSpacing"/>
        <w:rPr>
          <w:rFonts w:ascii="Times New Roman" w:hAnsi="Times New Roman" w:cs="Times New Roman"/>
          <w:b/>
          <w:bCs/>
          <w:sz w:val="23"/>
          <w:szCs w:val="23"/>
        </w:rPr>
      </w:pPr>
    </w:p>
    <w:p w14:paraId="10F69019" w14:textId="77777777" w:rsidR="00D00C4F" w:rsidRDefault="00A33414" w:rsidP="00CC1185">
      <w:pPr>
        <w:pStyle w:val="NoSpacing"/>
        <w:rPr>
          <w:rFonts w:ascii="Times New Roman" w:hAnsi="Times New Roman" w:cs="Times New Roman"/>
          <w:sz w:val="23"/>
          <w:szCs w:val="23"/>
        </w:rPr>
      </w:pPr>
      <w:r w:rsidRPr="0090386A">
        <w:rPr>
          <w:rFonts w:ascii="Times New Roman" w:hAnsi="Times New Roman" w:cs="Times New Roman"/>
          <w:sz w:val="23"/>
          <w:szCs w:val="23"/>
          <w:u w:val="single"/>
        </w:rPr>
        <w:t>India</w:t>
      </w:r>
    </w:p>
    <w:p w14:paraId="465BFE91" w14:textId="2FC34530" w:rsidR="00CC1185" w:rsidRPr="00CC1185" w:rsidRDefault="00D00C4F" w:rsidP="00CC1185">
      <w:pPr>
        <w:pStyle w:val="NoSpacing"/>
        <w:rPr>
          <w:rFonts w:ascii="Times New Roman" w:hAnsi="Times New Roman" w:cs="Times New Roman"/>
          <w:sz w:val="23"/>
          <w:szCs w:val="23"/>
        </w:rPr>
      </w:pPr>
      <w:r>
        <w:rPr>
          <w:rFonts w:ascii="Times New Roman" w:hAnsi="Times New Roman" w:cs="Times New Roman"/>
          <w:sz w:val="23"/>
          <w:szCs w:val="23"/>
        </w:rPr>
        <w:t>India a</w:t>
      </w:r>
      <w:r w:rsidR="00CC1185" w:rsidRPr="00CC1185">
        <w:rPr>
          <w:rFonts w:ascii="Times New Roman" w:hAnsi="Times New Roman" w:cs="Times New Roman"/>
          <w:sz w:val="23"/>
          <w:szCs w:val="23"/>
        </w:rPr>
        <w:t xml:space="preserve">ims to achieve 450 GW of renewable energy capacity by 2030. The country has set Renewable Purchase Obligation (RPO) targets, which mandate a minimum share of renewable energy in total energy consumption, progressively increasing to 43.33% by 2029-30​ </w:t>
      </w:r>
    </w:p>
    <w:p w14:paraId="2E634579" w14:textId="6A4E7D50" w:rsidR="006E3F96" w:rsidRPr="00CC1185" w:rsidRDefault="00CC1185" w:rsidP="00CC1185">
      <w:pPr>
        <w:pStyle w:val="NoSpacing"/>
        <w:rPr>
          <w:rFonts w:ascii="Times New Roman" w:hAnsi="Times New Roman" w:cs="Times New Roman"/>
          <w:sz w:val="23"/>
          <w:szCs w:val="23"/>
        </w:rPr>
      </w:pPr>
      <w:r w:rsidRPr="00CC1185">
        <w:rPr>
          <w:rFonts w:ascii="Times New Roman" w:hAnsi="Times New Roman" w:cs="Times New Roman"/>
          <w:sz w:val="23"/>
          <w:szCs w:val="23"/>
        </w:rPr>
        <w:t>In 2023, India invested $68 billion in clean energy, nearly 40% higher than the average from 2016-2020. This investment is directed towards solar PV, wind, and other low-emissions power generation​ (IISD)​.</w:t>
      </w:r>
    </w:p>
    <w:p w14:paraId="02D56A02" w14:textId="77777777" w:rsidR="00D807CB" w:rsidRPr="00A5384E" w:rsidRDefault="00D807CB" w:rsidP="008B71BD">
      <w:pPr>
        <w:pStyle w:val="NoSpacing"/>
        <w:rPr>
          <w:rFonts w:ascii="Times New Roman" w:hAnsi="Times New Roman" w:cs="Times New Roman"/>
          <w:b/>
          <w:bCs/>
          <w:sz w:val="23"/>
          <w:szCs w:val="23"/>
        </w:rPr>
      </w:pPr>
    </w:p>
    <w:p w14:paraId="72897104" w14:textId="77777777" w:rsidR="00D00C4F" w:rsidRDefault="00D12CEC" w:rsidP="008B71BD">
      <w:pPr>
        <w:pStyle w:val="NoSpacing"/>
        <w:rPr>
          <w:rFonts w:ascii="Times New Roman" w:hAnsi="Times New Roman" w:cs="Times New Roman"/>
          <w:b/>
          <w:bCs/>
          <w:sz w:val="23"/>
          <w:szCs w:val="23"/>
          <w:u w:val="single"/>
        </w:rPr>
      </w:pPr>
      <w:r w:rsidRPr="0090386A">
        <w:rPr>
          <w:rFonts w:ascii="Times New Roman" w:hAnsi="Times New Roman" w:cs="Times New Roman"/>
          <w:sz w:val="23"/>
          <w:szCs w:val="23"/>
          <w:u w:val="single"/>
        </w:rPr>
        <w:t>China</w:t>
      </w:r>
    </w:p>
    <w:p w14:paraId="73CC2438" w14:textId="75E1CD2F" w:rsidR="00D12CEC" w:rsidRDefault="008B71BD" w:rsidP="008B71BD">
      <w:pPr>
        <w:pStyle w:val="NoSpacing"/>
        <w:rPr>
          <w:rFonts w:ascii="Times New Roman" w:hAnsi="Times New Roman" w:cs="Times New Roman"/>
          <w:sz w:val="23"/>
          <w:szCs w:val="23"/>
        </w:rPr>
      </w:pPr>
      <w:r w:rsidRPr="008B71BD">
        <w:rPr>
          <w:rFonts w:ascii="Times New Roman" w:hAnsi="Times New Roman" w:cs="Times New Roman"/>
          <w:sz w:val="23"/>
          <w:szCs w:val="23"/>
        </w:rPr>
        <w:t>China invested approximately $890 billion in clean energy sectors in 2023, a 40% increase from 2022. This includes solar, wind, electric vehicles (EVs), energy storage, and grid infrastructure​ (Carbon Brief)​.</w:t>
      </w:r>
      <w:r>
        <w:rPr>
          <w:rFonts w:ascii="Times New Roman" w:hAnsi="Times New Roman" w:cs="Times New Roman"/>
          <w:sz w:val="23"/>
          <w:szCs w:val="23"/>
        </w:rPr>
        <w:t xml:space="preserve"> </w:t>
      </w:r>
      <w:r w:rsidRPr="008B71BD">
        <w:rPr>
          <w:rFonts w:ascii="Times New Roman" w:hAnsi="Times New Roman" w:cs="Times New Roman"/>
          <w:sz w:val="23"/>
          <w:szCs w:val="23"/>
        </w:rPr>
        <w:t>Targets China aims to peak carbon emissions by 2030 and achieve carbon neutrality by 2060. The country is rapidly expanding its renewable energy capacity, with significant investments in solar and wind power​</w:t>
      </w:r>
      <w:r>
        <w:rPr>
          <w:rFonts w:ascii="Times New Roman" w:hAnsi="Times New Roman" w:cs="Times New Roman"/>
          <w:sz w:val="23"/>
          <w:szCs w:val="23"/>
        </w:rPr>
        <w:t xml:space="preserve">. </w:t>
      </w:r>
    </w:p>
    <w:p w14:paraId="2EB131CB" w14:textId="77777777" w:rsidR="008B71BD" w:rsidRDefault="008B71BD" w:rsidP="008B71BD">
      <w:pPr>
        <w:pStyle w:val="NoSpacing"/>
        <w:rPr>
          <w:rFonts w:ascii="Times New Roman" w:hAnsi="Times New Roman" w:cs="Times New Roman"/>
          <w:sz w:val="23"/>
          <w:szCs w:val="23"/>
        </w:rPr>
      </w:pPr>
    </w:p>
    <w:p w14:paraId="2F6C2612" w14:textId="77777777" w:rsidR="00D00C4F" w:rsidRDefault="000B6094" w:rsidP="008E7A82">
      <w:pPr>
        <w:pStyle w:val="NoSpacing"/>
        <w:rPr>
          <w:rFonts w:ascii="Times New Roman" w:hAnsi="Times New Roman" w:cs="Times New Roman"/>
          <w:b/>
          <w:bCs/>
          <w:sz w:val="23"/>
          <w:szCs w:val="23"/>
          <w:u w:val="single"/>
        </w:rPr>
      </w:pPr>
      <w:r w:rsidRPr="0090386A">
        <w:rPr>
          <w:rFonts w:ascii="Times New Roman" w:hAnsi="Times New Roman" w:cs="Times New Roman"/>
          <w:sz w:val="23"/>
          <w:szCs w:val="23"/>
          <w:u w:val="single"/>
        </w:rPr>
        <w:t>Russia</w:t>
      </w:r>
      <w:r w:rsidR="008E7A82">
        <w:rPr>
          <w:rFonts w:ascii="Times New Roman" w:hAnsi="Times New Roman" w:cs="Times New Roman"/>
          <w:b/>
          <w:bCs/>
          <w:sz w:val="23"/>
          <w:szCs w:val="23"/>
          <w:u w:val="single"/>
        </w:rPr>
        <w:t xml:space="preserve"> </w:t>
      </w:r>
    </w:p>
    <w:p w14:paraId="3DAADD3C" w14:textId="3841F0BE" w:rsidR="008E7A82" w:rsidRPr="00D00C4F" w:rsidRDefault="00D00C4F" w:rsidP="008E7A82">
      <w:pPr>
        <w:pStyle w:val="NoSpacing"/>
        <w:rPr>
          <w:rFonts w:ascii="Times New Roman" w:hAnsi="Times New Roman" w:cs="Times New Roman"/>
          <w:sz w:val="23"/>
          <w:szCs w:val="23"/>
          <w:u w:val="single"/>
        </w:rPr>
      </w:pPr>
      <w:r>
        <w:rPr>
          <w:rFonts w:ascii="Times New Roman" w:hAnsi="Times New Roman" w:cs="Times New Roman"/>
          <w:sz w:val="23"/>
          <w:szCs w:val="23"/>
        </w:rPr>
        <w:t>Russia’s e</w:t>
      </w:r>
      <w:r w:rsidR="008E7A82" w:rsidRPr="008E7A82">
        <w:rPr>
          <w:rFonts w:ascii="Times New Roman" w:hAnsi="Times New Roman" w:cs="Times New Roman"/>
          <w:sz w:val="23"/>
          <w:szCs w:val="23"/>
        </w:rPr>
        <w:t>nergy sector is heavily reliant on fossil fuels, with renewables contributing a minor share.</w:t>
      </w:r>
    </w:p>
    <w:p w14:paraId="6AEDC9A2" w14:textId="054326A4" w:rsidR="008B71BD" w:rsidRPr="008E7A82" w:rsidRDefault="008E7A82" w:rsidP="008E7A82">
      <w:pPr>
        <w:pStyle w:val="NoSpacing"/>
        <w:rPr>
          <w:rFonts w:ascii="Times New Roman" w:hAnsi="Times New Roman" w:cs="Times New Roman"/>
          <w:sz w:val="23"/>
          <w:szCs w:val="23"/>
        </w:rPr>
      </w:pPr>
      <w:r w:rsidRPr="008E7A82">
        <w:rPr>
          <w:rFonts w:ascii="Times New Roman" w:hAnsi="Times New Roman" w:cs="Times New Roman"/>
          <w:sz w:val="23"/>
          <w:szCs w:val="23"/>
        </w:rPr>
        <w:t>Policies and Investments Russia has set modest targets for renewables and is investing in nuclear and hydropower. Wind and solar projects are being explored to diversify the energy mix and reduce carbon emissions​</w:t>
      </w:r>
      <w:r w:rsidR="0032159C">
        <w:rPr>
          <w:rFonts w:ascii="Times New Roman" w:hAnsi="Times New Roman" w:cs="Times New Roman"/>
          <w:sz w:val="23"/>
          <w:szCs w:val="23"/>
        </w:rPr>
        <w:t>.</w:t>
      </w:r>
      <w:r w:rsidRPr="008E7A82">
        <w:rPr>
          <w:rFonts w:ascii="Times New Roman" w:hAnsi="Times New Roman" w:cs="Times New Roman"/>
          <w:sz w:val="23"/>
          <w:szCs w:val="23"/>
        </w:rPr>
        <w:t xml:space="preserve"> Geopolitical issues</w:t>
      </w:r>
      <w:r w:rsidR="0032159C">
        <w:rPr>
          <w:rFonts w:ascii="Times New Roman" w:hAnsi="Times New Roman" w:cs="Times New Roman"/>
          <w:sz w:val="23"/>
          <w:szCs w:val="23"/>
        </w:rPr>
        <w:t xml:space="preserve"> are also playing a factor as mentioned above.</w:t>
      </w:r>
      <w:r w:rsidR="0032159C" w:rsidRPr="008E7A82">
        <w:rPr>
          <w:rFonts w:ascii="Times New Roman" w:hAnsi="Times New Roman" w:cs="Times New Roman"/>
          <w:sz w:val="23"/>
          <w:szCs w:val="23"/>
        </w:rPr>
        <w:t xml:space="preserve"> Sanctions</w:t>
      </w:r>
      <w:r w:rsidR="0032159C">
        <w:rPr>
          <w:rFonts w:ascii="Times New Roman" w:hAnsi="Times New Roman" w:cs="Times New Roman"/>
          <w:sz w:val="23"/>
          <w:szCs w:val="23"/>
        </w:rPr>
        <w:t xml:space="preserve"> </w:t>
      </w:r>
      <w:r w:rsidR="00CC1702">
        <w:rPr>
          <w:rFonts w:ascii="Times New Roman" w:hAnsi="Times New Roman" w:cs="Times New Roman"/>
          <w:sz w:val="23"/>
          <w:szCs w:val="23"/>
        </w:rPr>
        <w:t xml:space="preserve">have </w:t>
      </w:r>
      <w:r w:rsidRPr="008E7A82">
        <w:rPr>
          <w:rFonts w:ascii="Times New Roman" w:hAnsi="Times New Roman" w:cs="Times New Roman"/>
          <w:sz w:val="23"/>
          <w:szCs w:val="23"/>
        </w:rPr>
        <w:t>impacted foreign investments in Russia’s renewable sector, slowing its progress</w:t>
      </w:r>
      <w:r w:rsidR="00CC1702">
        <w:rPr>
          <w:rFonts w:ascii="Times New Roman" w:hAnsi="Times New Roman" w:cs="Times New Roman"/>
          <w:sz w:val="23"/>
          <w:szCs w:val="23"/>
        </w:rPr>
        <w:t xml:space="preserve">. </w:t>
      </w:r>
    </w:p>
    <w:p w14:paraId="6AA59A5A" w14:textId="77777777" w:rsidR="004A2254" w:rsidRDefault="004A2254" w:rsidP="006E11DE">
      <w:pPr>
        <w:pStyle w:val="NoSpacing"/>
        <w:rPr>
          <w:rFonts w:ascii="Times New Roman" w:hAnsi="Times New Roman" w:cs="Times New Roman"/>
          <w:sz w:val="23"/>
          <w:szCs w:val="23"/>
        </w:rPr>
      </w:pPr>
    </w:p>
    <w:p w14:paraId="14DA6373" w14:textId="0185CFED" w:rsidR="00FA666C" w:rsidRDefault="00FA666C" w:rsidP="00FA666C">
      <w:pPr>
        <w:pStyle w:val="NoSpacing"/>
        <w:rPr>
          <w:rFonts w:ascii="Times New Roman" w:hAnsi="Times New Roman" w:cs="Times New Roman"/>
          <w:sz w:val="23"/>
          <w:szCs w:val="23"/>
        </w:rPr>
      </w:pPr>
      <w:r>
        <w:rPr>
          <w:rFonts w:ascii="Times New Roman" w:hAnsi="Times New Roman" w:cs="Times New Roman"/>
          <w:b/>
          <w:bCs/>
          <w:noProof/>
          <w:sz w:val="28"/>
          <w:szCs w:val="28"/>
          <w:u w:val="single"/>
        </w:rPr>
        <mc:AlternateContent>
          <mc:Choice Requires="wps">
            <w:drawing>
              <wp:anchor distT="0" distB="0" distL="114300" distR="114300" simplePos="0" relativeHeight="251695104" behindDoc="0" locked="0" layoutInCell="1" allowOverlap="1" wp14:anchorId="1B0C46D0" wp14:editId="33D15A4E">
                <wp:simplePos x="0" y="0"/>
                <wp:positionH relativeFrom="page">
                  <wp:align>left</wp:align>
                </wp:positionH>
                <wp:positionV relativeFrom="paragraph">
                  <wp:posOffset>1086174</wp:posOffset>
                </wp:positionV>
                <wp:extent cx="7771561" cy="85569"/>
                <wp:effectExtent l="0" t="0" r="20320" b="10160"/>
                <wp:wrapNone/>
                <wp:docPr id="350876733" name="Rectangle: Diagonal Corners Rounded 8"/>
                <wp:cNvGraphicFramePr/>
                <a:graphic xmlns:a="http://schemas.openxmlformats.org/drawingml/2006/main">
                  <a:graphicData uri="http://schemas.microsoft.com/office/word/2010/wordprocessingShape">
                    <wps:wsp>
                      <wps:cNvSpPr/>
                      <wps:spPr>
                        <a:xfrm>
                          <a:off x="0" y="0"/>
                          <a:ext cx="7771561" cy="85569"/>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AA93" id="Rectangle: Diagonal Corners Rounded 8" o:spid="_x0000_s1026" style="position:absolute;margin-left:0;margin-top:85.55pt;width:611.95pt;height:6.75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771561,8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" path="m14262,l7771561,r,l7771561,71307v,7877,-6385,14262,-14262,14262l,85569r,l,14262c,6385,6385,,14262,xe" fillcolor="#404040 [2429]" strokecolor="#030e13 [484]" strokeweight="1pt">
                <v:stroke joinstyle="miter"/>
                <v:path arrowok="t" o:connecttype="custom" o:connectlocs="14262,0;7771561,0;7771561,0;7771561,71307;7757299,85569;0,85569;0,85569;0,14262;14262,0" o:connectangles="0,0,0,0,0,0,0,0,0"/>
                <w10:wrap anchorx="page"/>
              </v:shape>
            </w:pict>
          </mc:Fallback>
        </mc:AlternateContent>
      </w:r>
    </w:p>
    <w:p w14:paraId="0BDE0CB9" w14:textId="03662AD5" w:rsidR="0019027B" w:rsidRPr="00FA666C" w:rsidRDefault="0022366F" w:rsidP="00FA666C">
      <w:pPr>
        <w:pStyle w:val="NoSpacing"/>
        <w:rPr>
          <w:rFonts w:ascii="Times New Roman" w:hAnsi="Times New Roman" w:cs="Times New Roman"/>
          <w:sz w:val="23"/>
          <w:szCs w:val="23"/>
        </w:rPr>
      </w:pPr>
      <w:r>
        <w:rPr>
          <w:noProof/>
        </w:rPr>
        <w:lastRenderedPageBreak/>
        <mc:AlternateContent>
          <mc:Choice Requires="wps">
            <w:drawing>
              <wp:anchor distT="0" distB="0" distL="114300" distR="114300" simplePos="0" relativeHeight="251677696" behindDoc="0" locked="0" layoutInCell="1" allowOverlap="1" wp14:anchorId="6ECF334F" wp14:editId="7346593F">
                <wp:simplePos x="0" y="0"/>
                <wp:positionH relativeFrom="page">
                  <wp:posOffset>17145</wp:posOffset>
                </wp:positionH>
                <wp:positionV relativeFrom="paragraph">
                  <wp:posOffset>-836247</wp:posOffset>
                </wp:positionV>
                <wp:extent cx="7755148" cy="77637"/>
                <wp:effectExtent l="0" t="0" r="17780" b="17780"/>
                <wp:wrapNone/>
                <wp:docPr id="1926315423" name="Rectangle 7"/>
                <wp:cNvGraphicFramePr/>
                <a:graphic xmlns:a="http://schemas.openxmlformats.org/drawingml/2006/main">
                  <a:graphicData uri="http://schemas.microsoft.com/office/word/2010/wordprocessingShape">
                    <wps:wsp>
                      <wps:cNvSpPr/>
                      <wps:spPr>
                        <a:xfrm>
                          <a:off x="0" y="0"/>
                          <a:ext cx="7755148" cy="77637"/>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D2DD1" id="Rectangle 7" o:spid="_x0000_s1026" style="position:absolute;margin-left:1.35pt;margin-top:-65.85pt;width:610.65pt;height:6.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" fillcolor="#a50021" strokecolor="#030e13 [484]" strokeweight="1pt">
                <w10:wrap anchorx="page"/>
              </v:rect>
            </w:pict>
          </mc:Fallback>
        </mc:AlternateContent>
      </w:r>
      <w:r w:rsidR="003F7276" w:rsidRPr="007916F4">
        <w:rPr>
          <w:b/>
          <w:bCs/>
          <w:sz w:val="28"/>
          <w:szCs w:val="28"/>
          <w:u w:val="single"/>
        </w:rPr>
        <w:t>Market Dynamics</w:t>
      </w:r>
    </w:p>
    <w:p w14:paraId="1FEBE905" w14:textId="6B093446" w:rsidR="003F7276" w:rsidRPr="0019027B" w:rsidRDefault="003F7276" w:rsidP="003F7276">
      <w:pPr>
        <w:pStyle w:val="NormalWeb"/>
        <w:rPr>
          <w:b/>
          <w:bCs/>
          <w:u w:val="single"/>
        </w:rPr>
      </w:pPr>
      <w:r>
        <w:rPr>
          <w:noProof/>
        </w:rPr>
        <w:drawing>
          <wp:inline distT="0" distB="0" distL="0" distR="0" wp14:anchorId="1E5AE410" wp14:editId="4833EB45">
            <wp:extent cx="5792470" cy="3098321"/>
            <wp:effectExtent l="76200" t="76200" r="113030" b="121285"/>
            <wp:docPr id="1026584580" name="Picture 13" descr="A graph of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4580" name="Picture 13" descr="A graph of stock mark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2639" cy="3146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0FCCE1" w14:textId="77777777" w:rsidR="006650A6" w:rsidRDefault="006650A6" w:rsidP="000E1879">
      <w:pPr>
        <w:pStyle w:val="NormalWeb"/>
        <w:rPr>
          <w:b/>
          <w:bCs/>
          <w:u w:val="single"/>
        </w:rPr>
      </w:pPr>
    </w:p>
    <w:p w14:paraId="266FD665" w14:textId="090D3751" w:rsidR="000E1879" w:rsidRDefault="003F7276" w:rsidP="000E1879">
      <w:pPr>
        <w:pStyle w:val="NormalWeb"/>
        <w:rPr>
          <w:b/>
          <w:bCs/>
          <w:u w:val="single"/>
        </w:rPr>
      </w:pPr>
      <w:r w:rsidRPr="000E1879">
        <w:rPr>
          <w:b/>
          <w:bCs/>
          <w:u w:val="single"/>
        </w:rPr>
        <w:t>Fossil Fuel ETF’s Vs Renewable ETF’s</w:t>
      </w:r>
    </w:p>
    <w:p w14:paraId="5532EAE3" w14:textId="0A1C4DE4" w:rsidR="005F1358" w:rsidRPr="006650A6" w:rsidRDefault="000E1879" w:rsidP="000E1879">
      <w:pPr>
        <w:pStyle w:val="NormalWeb"/>
        <w:rPr>
          <w:sz w:val="22"/>
          <w:szCs w:val="22"/>
        </w:rPr>
      </w:pPr>
      <w:r w:rsidRPr="006650A6">
        <w:rPr>
          <w:sz w:val="22"/>
          <w:szCs w:val="22"/>
          <w:u w:val="single"/>
        </w:rPr>
        <w:t>Data</w:t>
      </w:r>
      <w:r w:rsidRPr="006650A6">
        <w:rPr>
          <w:b/>
          <w:bCs/>
          <w:sz w:val="22"/>
          <w:szCs w:val="22"/>
          <w:u w:val="single"/>
        </w:rPr>
        <w:t>-</w:t>
      </w:r>
      <w:r w:rsidR="005F1358" w:rsidRPr="000E1879">
        <w:rPr>
          <w:sz w:val="18"/>
          <w:szCs w:val="18"/>
        </w:rPr>
        <w:t xml:space="preserve"> </w:t>
      </w:r>
      <w:r w:rsidR="005F1358" w:rsidRPr="006650A6">
        <w:rPr>
          <w:sz w:val="22"/>
          <w:szCs w:val="22"/>
        </w:rPr>
        <w:t>Pine Script was created to compare two combined fossil fuel ETFs with two combined renewable energy ETFs. Specifically, the Energy Select Sector SPDR Fund was combined with the SPDR S&amp;P Oil &amp; Gas Exploration &amp; Production ETF for the fossil fuel sector. For renewables, the iShares Global Clean Energy</w:t>
      </w:r>
      <w:r w:rsidRPr="006650A6">
        <w:rPr>
          <w:sz w:val="22"/>
          <w:szCs w:val="22"/>
        </w:rPr>
        <w:t xml:space="preserve"> </w:t>
      </w:r>
      <w:r w:rsidR="005F1358" w:rsidRPr="006650A6">
        <w:rPr>
          <w:sz w:val="22"/>
          <w:szCs w:val="22"/>
        </w:rPr>
        <w:t>ETF was combined with the Invesco Solar ETF.</w:t>
      </w:r>
      <w:r w:rsidRPr="006650A6">
        <w:rPr>
          <w:b/>
          <w:bCs/>
          <w:sz w:val="22"/>
          <w:szCs w:val="22"/>
          <w:u w:val="single"/>
        </w:rPr>
        <w:t xml:space="preserve"> </w:t>
      </w:r>
      <w:r w:rsidR="005F1358" w:rsidRPr="006650A6">
        <w:rPr>
          <w:sz w:val="22"/>
          <w:szCs w:val="22"/>
        </w:rPr>
        <w:t>The script uses the daily closing prices of these ETFs to calculate the average closing price for both the fossil fuel and renewable energy groups. This provides a clear comparison of investment exposure across both energy sectors.</w:t>
      </w:r>
    </w:p>
    <w:p w14:paraId="1846A290" w14:textId="526A982C" w:rsidR="006650A6" w:rsidRDefault="000E1879" w:rsidP="000E1879">
      <w:pPr>
        <w:pStyle w:val="NoSpacing"/>
        <w:rPr>
          <w:rFonts w:ascii="Times New Roman" w:hAnsi="Times New Roman" w:cs="Times New Roman"/>
          <w:sz w:val="24"/>
          <w:szCs w:val="24"/>
          <w:u w:val="single"/>
        </w:rPr>
      </w:pPr>
      <w:r w:rsidRPr="0018734C">
        <w:rPr>
          <w:rFonts w:ascii="Times New Roman" w:hAnsi="Times New Roman" w:cs="Times New Roman"/>
          <w:sz w:val="24"/>
          <w:szCs w:val="24"/>
          <w:u w:val="single"/>
        </w:rPr>
        <w:t xml:space="preserve">Insights </w:t>
      </w:r>
    </w:p>
    <w:p w14:paraId="47162B22" w14:textId="0E985231" w:rsidR="006650A6" w:rsidRPr="0018734C" w:rsidRDefault="006650A6" w:rsidP="000E1879">
      <w:pPr>
        <w:pStyle w:val="NoSpacing"/>
        <w:rPr>
          <w:rFonts w:ascii="Times New Roman" w:hAnsi="Times New Roman" w:cs="Times New Roman"/>
          <w:sz w:val="24"/>
          <w:szCs w:val="24"/>
          <w:u w:val="single"/>
        </w:rPr>
      </w:pPr>
    </w:p>
    <w:p w14:paraId="007FA2F4" w14:textId="1282B09B" w:rsidR="006650A6" w:rsidRPr="00FA666C" w:rsidRDefault="008D1E1E" w:rsidP="00FA666C">
      <w:pPr>
        <w:pStyle w:val="NoSpacing"/>
        <w:numPr>
          <w:ilvl w:val="0"/>
          <w:numId w:val="32"/>
        </w:numPr>
        <w:rPr>
          <w:rFonts w:ascii="Times New Roman" w:hAnsi="Times New Roman" w:cs="Times New Roman"/>
          <w:sz w:val="22"/>
          <w:szCs w:val="22"/>
        </w:rPr>
      </w:pPr>
      <w:r w:rsidRPr="006650A6">
        <w:rPr>
          <w:rFonts w:ascii="Times New Roman" w:hAnsi="Times New Roman" w:cs="Times New Roman"/>
          <w:sz w:val="22"/>
          <w:szCs w:val="22"/>
        </w:rPr>
        <w:t>We observe a clear divergence between the two combined investment ETFs. The black line represents fossil fuels, while the green line represents renewables. This divergence started to become noticeable at the end of December 2021. Over the nearly three-year period that followed, the trend has consistently indicated a preference for investments in fossil fuel ETFs.</w:t>
      </w:r>
    </w:p>
    <w:p w14:paraId="3117E7BF" w14:textId="457EF36B" w:rsidR="008D1E1E" w:rsidRPr="00FA666C" w:rsidRDefault="00367E4D" w:rsidP="00FA666C">
      <w:pPr>
        <w:pStyle w:val="NormalWeb"/>
        <w:numPr>
          <w:ilvl w:val="0"/>
          <w:numId w:val="32"/>
        </w:numPr>
        <w:rPr>
          <w:sz w:val="22"/>
          <w:szCs w:val="22"/>
        </w:rPr>
      </w:pPr>
      <w:r w:rsidRPr="006650A6">
        <w:rPr>
          <w:sz w:val="22"/>
          <w:szCs w:val="22"/>
        </w:rPr>
        <w:t xml:space="preserve">Markets bring transparency to the overall energy landscape due to their inherent incentives. Money serves as a key driver and force multiplier to any given narrative. Achieving a specific </w:t>
      </w:r>
      <w:r w:rsidRPr="00FA666C">
        <w:rPr>
          <w:sz w:val="22"/>
          <w:szCs w:val="22"/>
        </w:rPr>
        <w:t xml:space="preserve">path, agenda, or goal requires financial investments and capital allocation to be fully in sync. Without aligned financial support, it is challenging to realize these objectives completely. If the trajectory of these two data points continue what signal does this send to those in the camp of net zero and renewable energy ambitions? </w:t>
      </w:r>
    </w:p>
    <w:p w14:paraId="1A5AEA46" w14:textId="324D1B1A" w:rsidR="00FA666C" w:rsidRDefault="00FA666C" w:rsidP="000E1879">
      <w:pPr>
        <w:pStyle w:val="NormalWeb"/>
        <w:rPr>
          <w:b/>
          <w:bCs/>
          <w:sz w:val="28"/>
          <w:szCs w:val="28"/>
          <w:u w:val="single"/>
        </w:rPr>
      </w:pPr>
      <w:r>
        <w:rPr>
          <w:b/>
          <w:bCs/>
          <w:noProof/>
          <w:sz w:val="28"/>
          <w:szCs w:val="28"/>
          <w:u w:val="single"/>
        </w:rPr>
        <mc:AlternateContent>
          <mc:Choice Requires="wps">
            <w:drawing>
              <wp:anchor distT="0" distB="0" distL="114300" distR="114300" simplePos="0" relativeHeight="251697152" behindDoc="0" locked="0" layoutInCell="1" allowOverlap="1" wp14:anchorId="06973C12" wp14:editId="41C7E603">
                <wp:simplePos x="0" y="0"/>
                <wp:positionH relativeFrom="page">
                  <wp:posOffset>-266700</wp:posOffset>
                </wp:positionH>
                <wp:positionV relativeFrom="paragraph">
                  <wp:posOffset>1126334</wp:posOffset>
                </wp:positionV>
                <wp:extent cx="8022566" cy="76463"/>
                <wp:effectExtent l="0" t="0" r="17145" b="19050"/>
                <wp:wrapNone/>
                <wp:docPr id="2062862846" name="Rectangle: Diagonal Corners Rounded 8"/>
                <wp:cNvGraphicFramePr/>
                <a:graphic xmlns:a="http://schemas.openxmlformats.org/drawingml/2006/main">
                  <a:graphicData uri="http://schemas.microsoft.com/office/word/2010/wordprocessingShape">
                    <wps:wsp>
                      <wps:cNvSpPr/>
                      <wps:spPr>
                        <a:xfrm>
                          <a:off x="0" y="0"/>
                          <a:ext cx="8022566" cy="76463"/>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A82D" id="Rectangle: Diagonal Corners Rounded 8" o:spid="_x0000_s1026" style="position:absolute;margin-left:-21pt;margin-top:88.7pt;width:631.7pt;height: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22566,7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" path="m12744,l8022566,r,l8022566,63719v,7038,-5706,12744,-12744,12744l,76463r,l,12744c,5706,5706,,12744,xe" fillcolor="#404040 [2429]" strokecolor="#030e13 [484]" strokeweight="1pt">
                <v:stroke joinstyle="miter"/>
                <v:path arrowok="t" o:connecttype="custom" o:connectlocs="12744,0;8022566,0;8022566,0;8022566,63719;8009822,76463;0,76463;0,76463;0,12744;12744,0" o:connectangles="0,0,0,0,0,0,0,0,0"/>
                <w10:wrap anchorx="page"/>
              </v:shape>
            </w:pict>
          </mc:Fallback>
        </mc:AlternateContent>
      </w:r>
    </w:p>
    <w:p w14:paraId="5D2E4E91" w14:textId="1BB3DDA4" w:rsidR="006650A6" w:rsidRPr="007916F4" w:rsidRDefault="00FA666C" w:rsidP="000E1879">
      <w:pPr>
        <w:pStyle w:val="NormalWeb"/>
        <w:rPr>
          <w:b/>
          <w:bCs/>
          <w:sz w:val="28"/>
          <w:szCs w:val="28"/>
          <w:u w:val="single"/>
        </w:rPr>
      </w:pPr>
      <w:r>
        <w:rPr>
          <w:noProof/>
        </w:rPr>
        <w:lastRenderedPageBreak/>
        <mc:AlternateContent>
          <mc:Choice Requires="wps">
            <w:drawing>
              <wp:anchor distT="0" distB="0" distL="114300" distR="114300" simplePos="0" relativeHeight="251679744" behindDoc="0" locked="0" layoutInCell="1" allowOverlap="1" wp14:anchorId="37959880" wp14:editId="4288EB1E">
                <wp:simplePos x="0" y="0"/>
                <wp:positionH relativeFrom="page">
                  <wp:posOffset>34398</wp:posOffset>
                </wp:positionH>
                <wp:positionV relativeFrom="paragraph">
                  <wp:posOffset>-844766</wp:posOffset>
                </wp:positionV>
                <wp:extent cx="7755148" cy="77637"/>
                <wp:effectExtent l="0" t="0" r="17780" b="17780"/>
                <wp:wrapNone/>
                <wp:docPr id="1492038957" name="Rectangle 7"/>
                <wp:cNvGraphicFramePr/>
                <a:graphic xmlns:a="http://schemas.openxmlformats.org/drawingml/2006/main">
                  <a:graphicData uri="http://schemas.microsoft.com/office/word/2010/wordprocessingShape">
                    <wps:wsp>
                      <wps:cNvSpPr/>
                      <wps:spPr>
                        <a:xfrm>
                          <a:off x="0" y="0"/>
                          <a:ext cx="7755148" cy="77637"/>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D418B" id="Rectangle 7" o:spid="_x0000_s1026" style="position:absolute;margin-left:2.7pt;margin-top:-66.5pt;width:610.65pt;height:6.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" fillcolor="#a50021" strokecolor="#030e13 [484]" strokeweight="1pt">
                <w10:wrap anchorx="page"/>
              </v:rect>
            </w:pict>
          </mc:Fallback>
        </mc:AlternateContent>
      </w:r>
      <w:r w:rsidR="006650A6" w:rsidRPr="007916F4">
        <w:rPr>
          <w:b/>
          <w:bCs/>
          <w:sz w:val="28"/>
          <w:szCs w:val="28"/>
          <w:u w:val="single"/>
        </w:rPr>
        <w:t>Renewable Energy and Oil &amp; Gas Costs and Expenses</w:t>
      </w:r>
    </w:p>
    <w:p w14:paraId="38393404" w14:textId="4CF3F93A" w:rsidR="001978FD" w:rsidRDefault="001978FD" w:rsidP="001978FD">
      <w:pPr>
        <w:pStyle w:val="NormalWeb"/>
      </w:pPr>
      <w:r>
        <w:rPr>
          <w:noProof/>
        </w:rPr>
        <w:drawing>
          <wp:inline distT="0" distB="0" distL="0" distR="0" wp14:anchorId="0541612A" wp14:editId="2A610189">
            <wp:extent cx="6005195" cy="2861095"/>
            <wp:effectExtent l="304800" t="304800" r="300355" b="301625"/>
            <wp:docPr id="1412867115" name="Picture 17" descr="A graph of 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67115" name="Picture 17" descr="A graph of a graph with numbers and 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9736" cy="28775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C3593A2" w14:textId="526535DE" w:rsidR="001978FD" w:rsidRDefault="001978FD" w:rsidP="001978FD">
      <w:pPr>
        <w:pStyle w:val="NormalWeb"/>
      </w:pPr>
      <w:r>
        <w:rPr>
          <w:noProof/>
        </w:rPr>
        <w:drawing>
          <wp:inline distT="0" distB="0" distL="0" distR="0" wp14:anchorId="0F117802" wp14:editId="0685FCAE">
            <wp:extent cx="6376317" cy="1440611"/>
            <wp:effectExtent l="0" t="0" r="0" b="0"/>
            <wp:docPr id="1977844531"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4531" name="Picture 18" descr="A screenshot of a grap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7582" cy="1477046"/>
                    </a:xfrm>
                    <a:prstGeom prst="rect">
                      <a:avLst/>
                    </a:prstGeom>
                    <a:noFill/>
                    <a:ln>
                      <a:noFill/>
                    </a:ln>
                  </pic:spPr>
                </pic:pic>
              </a:graphicData>
            </a:graphic>
          </wp:inline>
        </w:drawing>
      </w:r>
    </w:p>
    <w:p w14:paraId="4700E2A8" w14:textId="61D9AB03" w:rsidR="0021579C" w:rsidRDefault="0021579C" w:rsidP="0021579C">
      <w:pPr>
        <w:pStyle w:val="NoSpacing"/>
        <w:rPr>
          <w:rFonts w:ascii="Times New Roman" w:hAnsi="Times New Roman" w:cs="Times New Roman"/>
          <w:b/>
          <w:bCs/>
          <w:sz w:val="24"/>
          <w:szCs w:val="24"/>
          <w:u w:val="single"/>
        </w:rPr>
      </w:pPr>
      <w:r w:rsidRPr="0021579C">
        <w:rPr>
          <w:rFonts w:ascii="Times New Roman" w:hAnsi="Times New Roman" w:cs="Times New Roman"/>
          <w:b/>
          <w:bCs/>
          <w:sz w:val="24"/>
          <w:szCs w:val="24"/>
          <w:u w:val="single"/>
        </w:rPr>
        <w:t xml:space="preserve">Insights </w:t>
      </w:r>
    </w:p>
    <w:p w14:paraId="08475543" w14:textId="4111680D" w:rsidR="0021579C" w:rsidRPr="0021579C" w:rsidRDefault="0021579C" w:rsidP="0021579C">
      <w:pPr>
        <w:pStyle w:val="NoSpacing"/>
        <w:rPr>
          <w:rFonts w:ascii="Times New Roman" w:hAnsi="Times New Roman" w:cs="Times New Roman"/>
          <w:b/>
          <w:bCs/>
          <w:sz w:val="24"/>
          <w:szCs w:val="24"/>
          <w:u w:val="single"/>
        </w:rPr>
      </w:pPr>
    </w:p>
    <w:p w14:paraId="779264ED" w14:textId="60D81919" w:rsidR="0000477E" w:rsidRPr="0021579C" w:rsidRDefault="0000477E" w:rsidP="0021579C">
      <w:pPr>
        <w:pStyle w:val="NoSpacing"/>
        <w:rPr>
          <w:rFonts w:ascii="Times New Roman" w:hAnsi="Times New Roman" w:cs="Times New Roman"/>
        </w:rPr>
      </w:pPr>
      <w:r w:rsidRPr="0021579C">
        <w:rPr>
          <w:rFonts w:ascii="Times New Roman" w:hAnsi="Times New Roman" w:cs="Times New Roman"/>
          <w:sz w:val="22"/>
          <w:szCs w:val="22"/>
        </w:rPr>
        <w:t>To explore the relationship between capital expenditures (CapEx) and earnings among oil and gas companies versus renewable energy companies, I selected four companies with similar market capitalizations: Occidental Petroleum (approximately $59 billion), Enbridge ($82.8 billion), ConocoPhillips ($142.7 billion), and NextEra Energy ($147.7 billion).</w:t>
      </w:r>
    </w:p>
    <w:p w14:paraId="0BD0F31F" w14:textId="1C03E4A4" w:rsidR="0021579C" w:rsidRDefault="00FA666C" w:rsidP="0021579C">
      <w:pPr>
        <w:pStyle w:val="NormalWeb"/>
        <w:rPr>
          <w:sz w:val="22"/>
          <w:szCs w:val="22"/>
        </w:rPr>
      </w:pPr>
      <w:r>
        <w:rPr>
          <w:b/>
          <w:bCs/>
          <w:noProof/>
          <w:sz w:val="28"/>
          <w:szCs w:val="28"/>
          <w:u w:val="single"/>
        </w:rPr>
        <mc:AlternateContent>
          <mc:Choice Requires="wps">
            <w:drawing>
              <wp:anchor distT="0" distB="0" distL="114300" distR="114300" simplePos="0" relativeHeight="251699200" behindDoc="0" locked="0" layoutInCell="1" allowOverlap="1" wp14:anchorId="5AF84167" wp14:editId="2ADB2162">
                <wp:simplePos x="0" y="0"/>
                <wp:positionH relativeFrom="page">
                  <wp:posOffset>8255</wp:posOffset>
                </wp:positionH>
                <wp:positionV relativeFrom="paragraph">
                  <wp:posOffset>2349716</wp:posOffset>
                </wp:positionV>
                <wp:extent cx="8022566" cy="76463"/>
                <wp:effectExtent l="0" t="0" r="17145" b="19050"/>
                <wp:wrapNone/>
                <wp:docPr id="1333638605" name="Rectangle: Diagonal Corners Rounded 8"/>
                <wp:cNvGraphicFramePr/>
                <a:graphic xmlns:a="http://schemas.openxmlformats.org/drawingml/2006/main">
                  <a:graphicData uri="http://schemas.microsoft.com/office/word/2010/wordprocessingShape">
                    <wps:wsp>
                      <wps:cNvSpPr/>
                      <wps:spPr>
                        <a:xfrm>
                          <a:off x="0" y="0"/>
                          <a:ext cx="8022566" cy="76463"/>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466F" id="Rectangle: Diagonal Corners Rounded 8" o:spid="_x0000_s1026" style="position:absolute;margin-left:.65pt;margin-top:185pt;width:631.7pt;height: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22566,7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" path="m12744,l8022566,r,l8022566,63719v,7038,-5706,12744,-12744,12744l,76463r,l,12744c,5706,5706,,12744,xe" fillcolor="#404040 [2429]" strokecolor="#030e13 [484]" strokeweight="1pt">
                <v:stroke joinstyle="miter"/>
                <v:path arrowok="t" o:connecttype="custom" o:connectlocs="12744,0;8022566,0;8022566,0;8022566,63719;8009822,76463;0,76463;0,76463;0,12744;12744,0" o:connectangles="0,0,0,0,0,0,0,0,0"/>
                <w10:wrap anchorx="page"/>
              </v:shape>
            </w:pict>
          </mc:Fallback>
        </mc:AlternateContent>
      </w:r>
      <w:r w:rsidR="0000477E" w:rsidRPr="0000477E">
        <w:rPr>
          <w:sz w:val="22"/>
          <w:szCs w:val="22"/>
        </w:rPr>
        <w:t xml:space="preserve">By combining the data points for Occidental Petroleum and ConocoPhillips into one group, and Enbridge and NextEra Energy into another, I created two distinct comparison groups. The results revealed a clear difference in CapEx and EBITDA (Earnings Before Interest, Taxes, Depreciation, and Amortization). The renewable energy companies (Enbridge and NextEra Energy) exhibited a higher proportion of CapEx relative to their EBITDA compared to the oil and gas companies (Occidental Petroleum and ConocoPhillips). This higher ratio suggests that a significant portion of their earnings is </w:t>
      </w:r>
      <w:r w:rsidR="0000477E">
        <w:rPr>
          <w:sz w:val="22"/>
          <w:szCs w:val="22"/>
        </w:rPr>
        <w:t xml:space="preserve">likely being </w:t>
      </w:r>
      <w:r w:rsidR="0018734C">
        <w:rPr>
          <w:sz w:val="22"/>
          <w:szCs w:val="22"/>
        </w:rPr>
        <w:t>spent</w:t>
      </w:r>
      <w:r w:rsidR="0000477E">
        <w:rPr>
          <w:sz w:val="22"/>
          <w:szCs w:val="22"/>
        </w:rPr>
        <w:t xml:space="preserve"> on capex or other obligations. </w:t>
      </w:r>
      <w:r w:rsidR="0018734C">
        <w:rPr>
          <w:sz w:val="22"/>
          <w:szCs w:val="22"/>
        </w:rPr>
        <w:t xml:space="preserve">Further analysis is needed to determine </w:t>
      </w:r>
      <w:r w:rsidR="00F50CE2">
        <w:rPr>
          <w:sz w:val="22"/>
          <w:szCs w:val="22"/>
        </w:rPr>
        <w:t>the specifics.</w:t>
      </w:r>
      <w:r w:rsidR="0018734C">
        <w:rPr>
          <w:sz w:val="22"/>
          <w:szCs w:val="22"/>
        </w:rPr>
        <w:t xml:space="preserve"> The goal for this section was simply to highlight two metrics of costs vs earnings for the distinct groups. </w:t>
      </w:r>
    </w:p>
    <w:p w14:paraId="41EC349F" w14:textId="25309D7D" w:rsidR="00FA666C" w:rsidRDefault="00FA666C" w:rsidP="0021579C">
      <w:pPr>
        <w:pStyle w:val="NormalWeb"/>
        <w:rPr>
          <w:b/>
          <w:bCs/>
          <w:u w:val="single"/>
        </w:rPr>
      </w:pPr>
      <w:r>
        <w:rPr>
          <w:noProof/>
        </w:rPr>
        <w:lastRenderedPageBreak/>
        <mc:AlternateContent>
          <mc:Choice Requires="wps">
            <w:drawing>
              <wp:anchor distT="0" distB="0" distL="114300" distR="114300" simplePos="0" relativeHeight="251681792" behindDoc="0" locked="0" layoutInCell="1" allowOverlap="1" wp14:anchorId="58AC78FB" wp14:editId="49B4C5C8">
                <wp:simplePos x="0" y="0"/>
                <wp:positionH relativeFrom="page">
                  <wp:align>left</wp:align>
                </wp:positionH>
                <wp:positionV relativeFrom="paragraph">
                  <wp:posOffset>-834605</wp:posOffset>
                </wp:positionV>
                <wp:extent cx="7754620" cy="77470"/>
                <wp:effectExtent l="0" t="0" r="17780" b="17780"/>
                <wp:wrapNone/>
                <wp:docPr id="1649914604" name="Rectangle 7"/>
                <wp:cNvGraphicFramePr/>
                <a:graphic xmlns:a="http://schemas.openxmlformats.org/drawingml/2006/main">
                  <a:graphicData uri="http://schemas.microsoft.com/office/word/2010/wordprocessingShape">
                    <wps:wsp>
                      <wps:cNvSpPr/>
                      <wps:spPr>
                        <a:xfrm>
                          <a:off x="0" y="0"/>
                          <a:ext cx="7754620" cy="77470"/>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FB12" id="Rectangle 7" o:spid="_x0000_s1026" style="position:absolute;margin-left:0;margin-top:-65.7pt;width:610.6pt;height:6.1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" fillcolor="#a50021" strokecolor="#030e13 [484]" strokeweight="1pt">
                <w10:wrap anchorx="page"/>
              </v:rect>
            </w:pict>
          </mc:Fallback>
        </mc:AlternateContent>
      </w:r>
    </w:p>
    <w:p w14:paraId="5A792D0E" w14:textId="77777777" w:rsidR="00FA666C" w:rsidRDefault="00FA666C" w:rsidP="0021579C">
      <w:pPr>
        <w:pStyle w:val="NormalWeb"/>
        <w:rPr>
          <w:b/>
          <w:bCs/>
          <w:u w:val="single"/>
        </w:rPr>
      </w:pPr>
    </w:p>
    <w:p w14:paraId="686DC0B5" w14:textId="7B91D8A1" w:rsidR="00D33599" w:rsidRPr="00FA666C" w:rsidRDefault="007923CD" w:rsidP="0021579C">
      <w:pPr>
        <w:pStyle w:val="NormalWeb"/>
        <w:rPr>
          <w:sz w:val="22"/>
          <w:szCs w:val="22"/>
        </w:rPr>
      </w:pPr>
      <w:r>
        <w:rPr>
          <w:b/>
          <w:bCs/>
          <w:u w:val="single"/>
        </w:rPr>
        <w:t xml:space="preserve"> Assumptions</w:t>
      </w:r>
      <w:r w:rsidR="00F1363E">
        <w:rPr>
          <w:b/>
          <w:bCs/>
          <w:u w:val="single"/>
        </w:rPr>
        <w:t xml:space="preserve"> and Limitations </w:t>
      </w:r>
    </w:p>
    <w:p w14:paraId="67EA3BB9" w14:textId="77777777" w:rsidR="00772BA1" w:rsidRPr="00772BA1" w:rsidRDefault="00772BA1" w:rsidP="00772BA1">
      <w:pPr>
        <w:pStyle w:val="NormalWeb"/>
      </w:pPr>
      <w:r w:rsidRPr="00772BA1">
        <w:t>Primary energy consumption remains heavily favored and relied upon worldwide. Although some individual countries have made significant advancements toward achieving their renewable energy goals, they are still far from attaining them. The continued trajectory of GDP growth in these regions will make the transition to renewable energy even more challenging. Many emerging economies were not included in this report, but they will also play a significant role in the future balance of energy consumption.</w:t>
      </w:r>
    </w:p>
    <w:p w14:paraId="0D9E7847" w14:textId="77777777" w:rsidR="00772BA1" w:rsidRPr="00772BA1" w:rsidRDefault="00772BA1" w:rsidP="00772BA1">
      <w:pPr>
        <w:pStyle w:val="NormalWeb"/>
      </w:pPr>
      <w:r w:rsidRPr="00772BA1">
        <w:t>The market dynamics highlighted in this report represent only a small portion of the overall economic landscape needed to gauge financial metrics between these two energy markets. More detailed analysis in various areas will be required to gain a comprehensive understanding of the overall landscape. Nevertheless, the data provided is still valuable for consideration. The divergence trend for the ETFs extends to almost three years, during which there has been a substantial push for renewable energy utilization and investment. One might expect that the significant resources and marketing directed toward renewables would draw investment away from fossil fuels. However, the ETFs mentioned in this report demonstrate otherwise.</w:t>
      </w:r>
    </w:p>
    <w:p w14:paraId="21AB19CD" w14:textId="77777777" w:rsidR="00772BA1" w:rsidRPr="00772BA1" w:rsidRDefault="00772BA1" w:rsidP="00772BA1">
      <w:pPr>
        <w:pStyle w:val="NormalWeb"/>
      </w:pPr>
      <w:r w:rsidRPr="00772BA1">
        <w:t xml:space="preserve">Evaluating CapEx to EBITDA is a fundamental measure of analysis for any company. It provides comparable insights </w:t>
      </w:r>
      <w:proofErr w:type="gramStart"/>
      <w:r w:rsidRPr="00772BA1">
        <w:t>between</w:t>
      </w:r>
      <w:proofErr w:type="gramEnd"/>
      <w:r w:rsidRPr="00772BA1">
        <w:t xml:space="preserve"> expenditure and profits. Selecting four companies with similar market caps within each group helped balance any differences or biases in their capacity to acquire and utilize capital. The renewable energy companies covered in this report appear to have a more difficult time reducing costs and increasing earnings. This could be due to factors such as manufacturing, transportation costs, and a lack of overall market interest. The oil and gas industry has a substantial lead in terms of infrastructure, trust, and stability, which helps them reduce costs and generate higher ROIs when compared.</w:t>
      </w:r>
    </w:p>
    <w:p w14:paraId="2FACC9CF" w14:textId="55CF82FD" w:rsidR="00D33599" w:rsidRPr="00772BA1" w:rsidRDefault="00772BA1" w:rsidP="00772BA1">
      <w:pPr>
        <w:pStyle w:val="NormalWeb"/>
      </w:pPr>
      <w:r w:rsidRPr="00772BA1">
        <w:t>These two energy sources will remain central to global attention for many years to come. It's a battle between necessity, trust, and resiliency versus transition, efficiency, and utilization. Extracting both energy types requires significant financial capital, land, and resources. Continued technological improvements will likely have the biggest impact on shifting the trajectory of either source in a more favorable direction.</w:t>
      </w:r>
    </w:p>
    <w:p w14:paraId="49DBBEEE" w14:textId="77777777" w:rsidR="0022366F" w:rsidRDefault="0022366F" w:rsidP="0021579C">
      <w:pPr>
        <w:pStyle w:val="NormalWeb"/>
      </w:pPr>
    </w:p>
    <w:p w14:paraId="45B17188" w14:textId="77777777" w:rsidR="00FA666C" w:rsidRDefault="00FA666C" w:rsidP="0021579C">
      <w:pPr>
        <w:pStyle w:val="NormalWeb"/>
      </w:pPr>
    </w:p>
    <w:p w14:paraId="6F586BA6" w14:textId="77777777" w:rsidR="00FA666C" w:rsidRDefault="00FA666C" w:rsidP="0021579C">
      <w:pPr>
        <w:pStyle w:val="NormalWeb"/>
      </w:pPr>
    </w:p>
    <w:p w14:paraId="1B9CBD4B" w14:textId="5DC72708" w:rsidR="00FA666C" w:rsidRDefault="00FA666C" w:rsidP="0021579C">
      <w:pPr>
        <w:pStyle w:val="NormalWeb"/>
      </w:pPr>
    </w:p>
    <w:p w14:paraId="6D1091F7" w14:textId="3C313712" w:rsidR="00FA666C" w:rsidRDefault="00FA666C" w:rsidP="0021579C">
      <w:pPr>
        <w:pStyle w:val="NormalWeb"/>
      </w:pPr>
      <w:r>
        <w:rPr>
          <w:b/>
          <w:bCs/>
          <w:noProof/>
          <w:sz w:val="28"/>
          <w:szCs w:val="28"/>
          <w:u w:val="single"/>
        </w:rPr>
        <mc:AlternateContent>
          <mc:Choice Requires="wps">
            <w:drawing>
              <wp:anchor distT="0" distB="0" distL="114300" distR="114300" simplePos="0" relativeHeight="251701248" behindDoc="0" locked="0" layoutInCell="1" allowOverlap="1" wp14:anchorId="4F1E59C7" wp14:editId="08AD9101">
                <wp:simplePos x="0" y="0"/>
                <wp:positionH relativeFrom="page">
                  <wp:posOffset>-8626</wp:posOffset>
                </wp:positionH>
                <wp:positionV relativeFrom="paragraph">
                  <wp:posOffset>1060774</wp:posOffset>
                </wp:positionV>
                <wp:extent cx="8022566" cy="76463"/>
                <wp:effectExtent l="0" t="0" r="17145" b="19050"/>
                <wp:wrapNone/>
                <wp:docPr id="283191033" name="Rectangle: Diagonal Corners Rounded 8"/>
                <wp:cNvGraphicFramePr/>
                <a:graphic xmlns:a="http://schemas.openxmlformats.org/drawingml/2006/main">
                  <a:graphicData uri="http://schemas.microsoft.com/office/word/2010/wordprocessingShape">
                    <wps:wsp>
                      <wps:cNvSpPr/>
                      <wps:spPr>
                        <a:xfrm>
                          <a:off x="0" y="0"/>
                          <a:ext cx="8022566" cy="76463"/>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EE92" id="Rectangle: Diagonal Corners Rounded 8" o:spid="_x0000_s1026" style="position:absolute;margin-left:-.7pt;margin-top:83.55pt;width:631.7pt;height: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22566,7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" path="m12744,l8022566,r,l8022566,63719v,7038,-5706,12744,-12744,12744l,76463r,l,12744c,5706,5706,,12744,xe" fillcolor="#404040 [2429]" strokecolor="#030e13 [484]" strokeweight="1pt">
                <v:stroke joinstyle="miter"/>
                <v:path arrowok="t" o:connecttype="custom" o:connectlocs="12744,0;8022566,0;8022566,0;8022566,63719;8009822,76463;0,76463;0,76463;0,12744;12744,0" o:connectangles="0,0,0,0,0,0,0,0,0"/>
                <w10:wrap anchorx="page"/>
              </v:shape>
            </w:pict>
          </mc:Fallback>
        </mc:AlternateContent>
      </w:r>
    </w:p>
    <w:p w14:paraId="6B0A23ED" w14:textId="1B6D6965" w:rsidR="007916F4" w:rsidRPr="00FA666C" w:rsidRDefault="00FA666C" w:rsidP="0021579C">
      <w:pPr>
        <w:pStyle w:val="NormalWeb"/>
      </w:pPr>
      <w:r>
        <w:rPr>
          <w:noProof/>
        </w:rPr>
        <w:lastRenderedPageBreak/>
        <mc:AlternateContent>
          <mc:Choice Requires="wps">
            <w:drawing>
              <wp:anchor distT="0" distB="0" distL="114300" distR="114300" simplePos="0" relativeHeight="251683840" behindDoc="0" locked="0" layoutInCell="1" allowOverlap="1" wp14:anchorId="3D2F947E" wp14:editId="0C39981A">
                <wp:simplePos x="0" y="0"/>
                <wp:positionH relativeFrom="page">
                  <wp:align>right</wp:align>
                </wp:positionH>
                <wp:positionV relativeFrom="paragraph">
                  <wp:posOffset>-897147</wp:posOffset>
                </wp:positionV>
                <wp:extent cx="7772400" cy="474453"/>
                <wp:effectExtent l="0" t="0" r="19050" b="20955"/>
                <wp:wrapNone/>
                <wp:docPr id="1998106778" name="Rectangle 7"/>
                <wp:cNvGraphicFramePr/>
                <a:graphic xmlns:a="http://schemas.openxmlformats.org/drawingml/2006/main">
                  <a:graphicData uri="http://schemas.microsoft.com/office/word/2010/wordprocessingShape">
                    <wps:wsp>
                      <wps:cNvSpPr/>
                      <wps:spPr>
                        <a:xfrm>
                          <a:off x="0" y="0"/>
                          <a:ext cx="7772400" cy="474453"/>
                        </a:xfrm>
                        <a:prstGeom prst="rect">
                          <a:avLst/>
                        </a:prstGeom>
                        <a:solidFill>
                          <a:srgbClr val="A5002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71C2C" id="Rectangle 7" o:spid="_x0000_s1026" style="position:absolute;margin-left:560.8pt;margin-top:-70.65pt;width:612pt;height:37.35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" fillcolor="#a50021" strokecolor="#030e13 [484]" strokeweight="1pt">
                <w10:wrap anchorx="page"/>
              </v:rect>
            </w:pict>
          </mc:Fallback>
        </mc:AlternateContent>
      </w:r>
      <w:r w:rsidR="007916F4" w:rsidRPr="007916F4">
        <w:rPr>
          <w:b/>
          <w:bCs/>
          <w:u w:val="single"/>
        </w:rPr>
        <w:t xml:space="preserve">Sources </w:t>
      </w:r>
    </w:p>
    <w:p w14:paraId="4BBDF8BC" w14:textId="77777777" w:rsidR="007916F4" w:rsidRDefault="007916F4" w:rsidP="007916F4">
      <w:pPr>
        <w:pStyle w:val="NoSpacing"/>
      </w:pPr>
    </w:p>
    <w:p w14:paraId="0F58E9B9" w14:textId="10208C95" w:rsidR="007916F4" w:rsidRPr="007916F4" w:rsidRDefault="007916F4" w:rsidP="007916F4">
      <w:pPr>
        <w:pStyle w:val="NoSpacing"/>
        <w:rPr>
          <w:rStyle w:val="Hyperlink"/>
          <w:sz w:val="18"/>
          <w:szCs w:val="18"/>
        </w:rPr>
      </w:pPr>
      <w:r>
        <w:fldChar w:fldCharType="begin"/>
      </w:r>
      <w:r>
        <w:instrText>HYPERLINK "https://ec.europa.eu/eurostat/statistics-explained/index.php?title=Oil_and_petroleum_products_-_a_statistical_overview"</w:instrText>
      </w:r>
      <w:r>
        <w:fldChar w:fldCharType="separate"/>
      </w:r>
      <w:r w:rsidRPr="007916F4">
        <w:rPr>
          <w:rStyle w:val="Hyperlink"/>
          <w:sz w:val="18"/>
          <w:szCs w:val="18"/>
        </w:rPr>
        <w:t>Oil and petroleum products - a statistical overview - Statistics Explained (europa.eu)</w:t>
      </w:r>
    </w:p>
    <w:p w14:paraId="610B1AE6" w14:textId="63C82CB4" w:rsidR="007916F4" w:rsidRPr="007916F4" w:rsidRDefault="007916F4" w:rsidP="007916F4">
      <w:pPr>
        <w:pStyle w:val="NoSpacing"/>
      </w:pPr>
      <w:r>
        <w:fldChar w:fldCharType="end"/>
      </w:r>
      <w:hyperlink r:id="rId17" w:history="1">
        <w:r w:rsidRPr="007916F4">
          <w:rPr>
            <w:rStyle w:val="Hyperlink"/>
            <w:sz w:val="18"/>
            <w:szCs w:val="18"/>
          </w:rPr>
          <w:t>Data download (opec.org)</w:t>
        </w:r>
      </w:hyperlink>
    </w:p>
    <w:p w14:paraId="0213C858" w14:textId="77777777" w:rsidR="007916F4" w:rsidRPr="007916F4" w:rsidRDefault="00000000" w:rsidP="007916F4">
      <w:pPr>
        <w:pStyle w:val="NoSpacing"/>
      </w:pPr>
      <w:hyperlink r:id="rId18" w:history="1">
        <w:r w:rsidR="007916F4" w:rsidRPr="007916F4">
          <w:rPr>
            <w:rStyle w:val="Hyperlink"/>
            <w:sz w:val="18"/>
            <w:szCs w:val="18"/>
          </w:rPr>
          <w:t>Overview and key findings – World Energy Investment 2023 – Analysis - IEA</w:t>
        </w:r>
      </w:hyperlink>
    </w:p>
    <w:p w14:paraId="4BF982D4" w14:textId="77777777" w:rsidR="007916F4" w:rsidRPr="007916F4" w:rsidRDefault="00000000" w:rsidP="007916F4">
      <w:pPr>
        <w:pStyle w:val="NoSpacing"/>
      </w:pPr>
      <w:hyperlink r:id="rId19" w:history="1">
        <w:r w:rsidR="007916F4" w:rsidRPr="007916F4">
          <w:rPr>
            <w:rStyle w:val="Hyperlink"/>
            <w:sz w:val="18"/>
            <w:szCs w:val="18"/>
          </w:rPr>
          <w:t>BNEF report: US$1.8 trillion of energy transition investment in 2023 (pv-tech.org)</w:t>
        </w:r>
      </w:hyperlink>
    </w:p>
    <w:p w14:paraId="3E1CD4F6" w14:textId="77777777" w:rsidR="007916F4" w:rsidRPr="007916F4" w:rsidRDefault="00000000" w:rsidP="007916F4">
      <w:pPr>
        <w:pStyle w:val="NoSpacing"/>
      </w:pPr>
      <w:hyperlink r:id="rId20" w:history="1">
        <w:r w:rsidR="007916F4" w:rsidRPr="007916F4">
          <w:rPr>
            <w:rStyle w:val="Hyperlink"/>
            <w:sz w:val="18"/>
            <w:szCs w:val="18"/>
          </w:rPr>
          <w:t>World Energy Investment 2023 – Analysis - IEA</w:t>
        </w:r>
      </w:hyperlink>
    </w:p>
    <w:p w14:paraId="7322B8F5" w14:textId="77777777" w:rsidR="007916F4" w:rsidRPr="007916F4" w:rsidRDefault="007916F4" w:rsidP="007916F4">
      <w:pPr>
        <w:pStyle w:val="NoSpacing"/>
        <w:rPr>
          <w:rStyle w:val="Hyperlink"/>
          <w:sz w:val="18"/>
          <w:szCs w:val="18"/>
        </w:rPr>
      </w:pPr>
      <w:r w:rsidRPr="007916F4">
        <w:fldChar w:fldCharType="begin"/>
      </w:r>
      <w:r w:rsidRPr="007916F4">
        <w:instrText>HYPERLINK "https://www.europarl.europa.eu/RegData/presse/pr_post_story/2022/EN/03A-DV-PRESSE_STO(2022)11-28-58001_EN.pdf" \l ":~:text=URL%3A%20https%3A%2F%2Fwww.europarl.europa.eu%2FRegData%2Fpresse%2Fpr_post_story%2F2022%2FEN%2F03A"</w:instrText>
      </w:r>
      <w:r w:rsidRPr="007916F4">
        <w:fldChar w:fldCharType="separate"/>
      </w:r>
      <w:r w:rsidRPr="007916F4">
        <w:rPr>
          <w:rStyle w:val="Hyperlink"/>
          <w:sz w:val="18"/>
          <w:szCs w:val="18"/>
        </w:rPr>
        <w:t>https://www.europarl.europa.eu/RegData/presse/pr_post_story/2022/EN/03A-DV-PRESSE_STO(2022)11-28-58001_EN.pdf</w:t>
      </w:r>
    </w:p>
    <w:p w14:paraId="161E75CF" w14:textId="77777777" w:rsidR="007916F4" w:rsidRPr="007916F4" w:rsidRDefault="007916F4" w:rsidP="007916F4">
      <w:pPr>
        <w:pStyle w:val="NoSpacing"/>
        <w:rPr>
          <w:rStyle w:val="Hyperlink"/>
          <w:sz w:val="18"/>
          <w:szCs w:val="18"/>
        </w:rPr>
      </w:pPr>
    </w:p>
    <w:p w14:paraId="299A41C5" w14:textId="77777777" w:rsidR="007916F4" w:rsidRPr="007916F4" w:rsidRDefault="007916F4" w:rsidP="007916F4">
      <w:pPr>
        <w:pStyle w:val="NoSpacing"/>
        <w:rPr>
          <w:rStyle w:val="Hyperlink"/>
          <w:sz w:val="18"/>
          <w:szCs w:val="18"/>
        </w:rPr>
      </w:pPr>
      <w:r w:rsidRPr="007916F4">
        <w:fldChar w:fldCharType="end"/>
      </w:r>
      <w:r w:rsidRPr="007916F4">
        <w:fldChar w:fldCharType="begin"/>
      </w:r>
      <w:r w:rsidRPr="007916F4">
        <w:instrText>HYPERLINK "https://home.treasury.gov/news/press-releases/jy1830"</w:instrText>
      </w:r>
      <w:r w:rsidRPr="007916F4">
        <w:fldChar w:fldCharType="separate"/>
      </w:r>
      <w:r w:rsidRPr="007916F4">
        <w:rPr>
          <w:rStyle w:val="Hyperlink"/>
          <w:sz w:val="18"/>
          <w:szCs w:val="18"/>
        </w:rPr>
        <w:t>FACT SHEET: How the Inflation Reduction Act’s Tax Incentives Are Ensuring All Americans Benefit from the Growth of the Clean Energy Economy | U.S. Department of the Treasury</w:t>
      </w:r>
    </w:p>
    <w:p w14:paraId="1DD9E58E" w14:textId="77777777" w:rsidR="007916F4" w:rsidRPr="007916F4" w:rsidRDefault="007916F4" w:rsidP="007916F4">
      <w:pPr>
        <w:pStyle w:val="NoSpacing"/>
        <w:rPr>
          <w:rStyle w:val="Hyperlink"/>
          <w:sz w:val="18"/>
          <w:szCs w:val="18"/>
        </w:rPr>
      </w:pPr>
      <w:r w:rsidRPr="007916F4">
        <w:fldChar w:fldCharType="end"/>
      </w:r>
      <w:r w:rsidRPr="007916F4">
        <w:fldChar w:fldCharType="begin"/>
      </w:r>
      <w:r w:rsidRPr="007916F4">
        <w:instrText>HYPERLINK "https://www.irena.org/Publications/2023/Jul/Renewable-energy-statistics-2023"</w:instrText>
      </w:r>
      <w:r w:rsidRPr="007916F4">
        <w:fldChar w:fldCharType="separate"/>
      </w:r>
      <w:r w:rsidRPr="007916F4">
        <w:rPr>
          <w:rStyle w:val="Hyperlink"/>
          <w:sz w:val="18"/>
          <w:szCs w:val="18"/>
        </w:rPr>
        <w:t>Renewable energy statistics 2023 (irena.org)</w:t>
      </w:r>
    </w:p>
    <w:p w14:paraId="4B483AE6" w14:textId="77777777" w:rsidR="007916F4" w:rsidRPr="007916F4" w:rsidRDefault="007916F4" w:rsidP="007916F4">
      <w:pPr>
        <w:pStyle w:val="NoSpacing"/>
      </w:pPr>
      <w:r w:rsidRPr="007916F4">
        <w:fldChar w:fldCharType="end"/>
      </w:r>
      <w:hyperlink r:id="rId21" w:history="1">
        <w:r w:rsidRPr="007916F4">
          <w:rPr>
            <w:rStyle w:val="Hyperlink"/>
            <w:sz w:val="18"/>
            <w:szCs w:val="18"/>
          </w:rPr>
          <w:t>2022 a record-breaking year for renewable energy in the UK | World Economic Forum (weforum.org)</w:t>
        </w:r>
      </w:hyperlink>
    </w:p>
    <w:p w14:paraId="2D0859E1" w14:textId="77777777" w:rsidR="007916F4" w:rsidRPr="007916F4" w:rsidRDefault="007916F4" w:rsidP="007916F4">
      <w:pPr>
        <w:pStyle w:val="NoSpacing"/>
      </w:pPr>
    </w:p>
    <w:p w14:paraId="346CDBCA" w14:textId="77777777" w:rsidR="007916F4" w:rsidRPr="007916F4" w:rsidRDefault="00000000" w:rsidP="007916F4">
      <w:pPr>
        <w:pStyle w:val="NoSpacing"/>
      </w:pPr>
      <w:hyperlink r:id="rId22" w:anchor=":~:text=URL%3A%20https%3A%2F%2Fwww.energy.gov%2Fsites%2Fdefault%2Ffiles%2F2022" w:history="1">
        <w:r w:rsidR="007916F4" w:rsidRPr="007916F4">
          <w:rPr>
            <w:rStyle w:val="Hyperlink"/>
            <w:sz w:val="18"/>
            <w:szCs w:val="18"/>
          </w:rPr>
          <w:t>https://www.energy.gov/sites/default/files/2022-09/USG%20GCEAF%20FACTSHEET_final_1.pdf</w:t>
        </w:r>
      </w:hyperlink>
    </w:p>
    <w:p w14:paraId="4F38A00F" w14:textId="77777777" w:rsidR="007916F4" w:rsidRPr="007916F4" w:rsidRDefault="00000000" w:rsidP="007916F4">
      <w:pPr>
        <w:pStyle w:val="NoSpacing"/>
      </w:pPr>
      <w:hyperlink r:id="rId23" w:history="1">
        <w:r w:rsidR="007916F4" w:rsidRPr="007916F4">
          <w:rPr>
            <w:rStyle w:val="Hyperlink"/>
            <w:sz w:val="18"/>
            <w:szCs w:val="18"/>
          </w:rPr>
          <w:t>FACT SHEET: The President’s Budget Creates Good-Paying Clean Jobs, Cuts Energy Costs, and Delivers on the President’s Ambitious Climate Agenda | The White House</w:t>
        </w:r>
      </w:hyperlink>
    </w:p>
    <w:p w14:paraId="4A614AD2" w14:textId="77777777" w:rsidR="007916F4" w:rsidRPr="007916F4" w:rsidRDefault="00000000" w:rsidP="007916F4">
      <w:pPr>
        <w:pStyle w:val="NoSpacing"/>
      </w:pPr>
      <w:hyperlink r:id="rId24" w:history="1">
        <w:r w:rsidR="007916F4" w:rsidRPr="007916F4">
          <w:rPr>
            <w:rStyle w:val="Hyperlink"/>
            <w:sz w:val="18"/>
            <w:szCs w:val="18"/>
          </w:rPr>
          <w:t>Biden-Harris Administration Delivers Historic Milestones, New Actions for Clean Energy on Public Lands | U.S. Department of the Interior (doi.gov)</w:t>
        </w:r>
      </w:hyperlink>
    </w:p>
    <w:p w14:paraId="11803F4C" w14:textId="77777777" w:rsidR="007916F4" w:rsidRPr="007916F4" w:rsidRDefault="00000000" w:rsidP="007916F4">
      <w:pPr>
        <w:pStyle w:val="NoSpacing"/>
      </w:pPr>
      <w:hyperlink r:id="rId25" w:history="1">
        <w:r w:rsidR="007916F4" w:rsidRPr="007916F4">
          <w:rPr>
            <w:rStyle w:val="Hyperlink"/>
            <w:sz w:val="18"/>
            <w:szCs w:val="18"/>
          </w:rPr>
          <w:t>New plans to make UK world leader in green energy - GOV.UK (www.gov.uk)</w:t>
        </w:r>
      </w:hyperlink>
    </w:p>
    <w:p w14:paraId="0008F465" w14:textId="77777777" w:rsidR="007916F4" w:rsidRPr="007916F4" w:rsidRDefault="00000000" w:rsidP="007916F4">
      <w:pPr>
        <w:pStyle w:val="NoSpacing"/>
      </w:pPr>
      <w:hyperlink r:id="rId26" w:history="1">
        <w:r w:rsidR="007916F4" w:rsidRPr="007916F4">
          <w:rPr>
            <w:rStyle w:val="Hyperlink"/>
            <w:sz w:val="18"/>
            <w:szCs w:val="18"/>
          </w:rPr>
          <w:t>UK's path to net zero set out in landmark strategy - GOV.UK (www.gov.uk)</w:t>
        </w:r>
      </w:hyperlink>
    </w:p>
    <w:p w14:paraId="7294797D" w14:textId="77777777" w:rsidR="007916F4" w:rsidRPr="007916F4" w:rsidRDefault="00000000" w:rsidP="007916F4">
      <w:pPr>
        <w:pStyle w:val="NoSpacing"/>
      </w:pPr>
      <w:hyperlink r:id="rId27" w:history="1">
        <w:r w:rsidR="007916F4" w:rsidRPr="007916F4">
          <w:rPr>
            <w:rStyle w:val="Hyperlink"/>
            <w:sz w:val="18"/>
            <w:szCs w:val="18"/>
          </w:rPr>
          <w:t>New laws passed to bolster energy security and deliver net zero - GOV.UK (www.gov.uk)</w:t>
        </w:r>
      </w:hyperlink>
    </w:p>
    <w:p w14:paraId="4505B675" w14:textId="77777777" w:rsidR="007916F4" w:rsidRPr="007916F4" w:rsidRDefault="00000000" w:rsidP="007916F4">
      <w:pPr>
        <w:pStyle w:val="NoSpacing"/>
      </w:pPr>
      <w:hyperlink r:id="rId28" w:history="1">
        <w:r w:rsidR="007916F4" w:rsidRPr="007916F4">
          <w:rPr>
            <w:rStyle w:val="Hyperlink"/>
            <w:sz w:val="18"/>
            <w:szCs w:val="18"/>
          </w:rPr>
          <w:t>United Kingdom - Countries &amp; Regions - IEA</w:t>
        </w:r>
      </w:hyperlink>
    </w:p>
    <w:p w14:paraId="07358C56" w14:textId="77777777" w:rsidR="007916F4" w:rsidRPr="007916F4" w:rsidRDefault="00000000" w:rsidP="007916F4">
      <w:pPr>
        <w:pStyle w:val="NoSpacing"/>
      </w:pPr>
      <w:hyperlink r:id="rId29" w:history="1">
        <w:r w:rsidR="007916F4" w:rsidRPr="007916F4">
          <w:rPr>
            <w:rStyle w:val="Hyperlink"/>
            <w:sz w:val="18"/>
            <w:szCs w:val="18"/>
          </w:rPr>
          <w:t>Renewable energy | Fact Sheets on the European Union | European Parliament (europa.eu)</w:t>
        </w:r>
      </w:hyperlink>
    </w:p>
    <w:p w14:paraId="2C556CF3" w14:textId="77777777" w:rsidR="007916F4" w:rsidRPr="007916F4" w:rsidRDefault="00000000" w:rsidP="007916F4">
      <w:pPr>
        <w:pStyle w:val="NoSpacing"/>
      </w:pPr>
      <w:hyperlink r:id="rId30" w:history="1">
        <w:r w:rsidR="007916F4" w:rsidRPr="007916F4">
          <w:rPr>
            <w:rStyle w:val="Hyperlink"/>
            <w:sz w:val="18"/>
            <w:szCs w:val="18"/>
          </w:rPr>
          <w:t>Energy and the Green Deal (europa.eu)</w:t>
        </w:r>
      </w:hyperlink>
    </w:p>
    <w:p w14:paraId="64417879" w14:textId="77777777" w:rsidR="007916F4" w:rsidRPr="007916F4" w:rsidRDefault="00000000" w:rsidP="007916F4">
      <w:pPr>
        <w:pStyle w:val="NoSpacing"/>
      </w:pPr>
      <w:hyperlink r:id="rId31" w:history="1">
        <w:r w:rsidR="007916F4" w:rsidRPr="007916F4">
          <w:rPr>
            <w:rStyle w:val="Hyperlink"/>
            <w:sz w:val="18"/>
            <w:szCs w:val="18"/>
          </w:rPr>
          <w:t>Canada needs to accelerate its transition to renewable energy (irpp.org)</w:t>
        </w:r>
      </w:hyperlink>
    </w:p>
    <w:p w14:paraId="3EB79DC3" w14:textId="77777777" w:rsidR="007916F4" w:rsidRPr="007916F4" w:rsidRDefault="00000000" w:rsidP="007916F4">
      <w:pPr>
        <w:pStyle w:val="NoSpacing"/>
      </w:pPr>
      <w:hyperlink r:id="rId32" w:history="1">
        <w:r w:rsidR="007916F4" w:rsidRPr="007916F4">
          <w:rPr>
            <w:rStyle w:val="Hyperlink"/>
            <w:sz w:val="18"/>
            <w:szCs w:val="18"/>
          </w:rPr>
          <w:t>Minister Wilkinson Welcomes the Canada Electricity Advisory Council Final Report to Help Build Canada’s Clean Electricity Future - Canada.ca</w:t>
        </w:r>
      </w:hyperlink>
    </w:p>
    <w:p w14:paraId="252C1995" w14:textId="77777777" w:rsidR="007916F4" w:rsidRPr="007916F4" w:rsidRDefault="00000000" w:rsidP="007916F4">
      <w:pPr>
        <w:pStyle w:val="NoSpacing"/>
      </w:pPr>
      <w:hyperlink r:id="rId33" w:history="1">
        <w:r w:rsidR="007916F4" w:rsidRPr="007916F4">
          <w:rPr>
            <w:rStyle w:val="Hyperlink"/>
            <w:sz w:val="18"/>
            <w:szCs w:val="18"/>
          </w:rPr>
          <w:t>CER – Canada’s Energy Future 2023: CER’s first long-term Outlook modeling Net-Zero by 2050 (cer-rec.gc.ca)</w:t>
        </w:r>
      </w:hyperlink>
    </w:p>
    <w:p w14:paraId="27DE3781" w14:textId="77777777" w:rsidR="007916F4" w:rsidRPr="007916F4" w:rsidRDefault="00000000" w:rsidP="007916F4">
      <w:pPr>
        <w:pStyle w:val="NoSpacing"/>
      </w:pPr>
      <w:hyperlink r:id="rId34" w:history="1">
        <w:r w:rsidR="007916F4" w:rsidRPr="007916F4">
          <w:rPr>
            <w:rStyle w:val="Hyperlink"/>
            <w:sz w:val="18"/>
            <w:szCs w:val="18"/>
          </w:rPr>
          <w:t>Canada’s bold policies and support for innovation can underpin a successful energy transition, new IEA policy review says - News - IEA</w:t>
        </w:r>
      </w:hyperlink>
    </w:p>
    <w:p w14:paraId="516070E9" w14:textId="77777777" w:rsidR="007916F4" w:rsidRPr="007916F4" w:rsidRDefault="00000000" w:rsidP="007916F4">
      <w:pPr>
        <w:pStyle w:val="NoSpacing"/>
      </w:pPr>
      <w:hyperlink r:id="rId35" w:history="1">
        <w:r w:rsidR="007916F4" w:rsidRPr="007916F4">
          <w:rPr>
            <w:rStyle w:val="Hyperlink"/>
            <w:sz w:val="18"/>
            <w:szCs w:val="18"/>
          </w:rPr>
          <w:t>Oil and petroleum products - a statistical overview - Statistics Explained (europa.eu)</w:t>
        </w:r>
      </w:hyperlink>
    </w:p>
    <w:p w14:paraId="7BD88C16" w14:textId="77777777" w:rsidR="007916F4" w:rsidRPr="007916F4" w:rsidRDefault="00000000" w:rsidP="007916F4">
      <w:pPr>
        <w:pStyle w:val="NoSpacing"/>
      </w:pPr>
      <w:hyperlink r:id="rId36" w:history="1">
        <w:r w:rsidR="007916F4" w:rsidRPr="007916F4">
          <w:rPr>
            <w:rStyle w:val="Hyperlink"/>
            <w:sz w:val="18"/>
            <w:szCs w:val="18"/>
          </w:rPr>
          <w:t>Analysis: Clean energy was top driver of China’s economic growth in 2023 - Carbon Brief</w:t>
        </w:r>
      </w:hyperlink>
    </w:p>
    <w:p w14:paraId="3D8318FC" w14:textId="77777777" w:rsidR="007916F4" w:rsidRPr="007916F4" w:rsidRDefault="00000000" w:rsidP="007916F4">
      <w:pPr>
        <w:pStyle w:val="NoSpacing"/>
      </w:pPr>
      <w:hyperlink r:id="rId37" w:history="1">
        <w:r w:rsidR="007916F4" w:rsidRPr="007916F4">
          <w:rPr>
            <w:rStyle w:val="Hyperlink"/>
            <w:sz w:val="18"/>
            <w:szCs w:val="18"/>
          </w:rPr>
          <w:t>Saudi Green Initiative - (vision2030.gov.sa)</w:t>
        </w:r>
      </w:hyperlink>
    </w:p>
    <w:p w14:paraId="69625216" w14:textId="77777777" w:rsidR="007916F4" w:rsidRPr="007916F4" w:rsidRDefault="00000000" w:rsidP="007916F4">
      <w:pPr>
        <w:pStyle w:val="NoSpacing"/>
      </w:pPr>
      <w:hyperlink r:id="rId38" w:history="1">
        <w:r w:rsidR="007916F4" w:rsidRPr="007916F4">
          <w:rPr>
            <w:rStyle w:val="Hyperlink"/>
            <w:sz w:val="18"/>
            <w:szCs w:val="18"/>
          </w:rPr>
          <w:t>Saudi Arabia announces 300% increase in installed renewables capacity, 43.9 million trees planted since launch of Saudi Green Initiative (greeninitiatives.gov.sa)</w:t>
        </w:r>
      </w:hyperlink>
    </w:p>
    <w:p w14:paraId="7BF40E53" w14:textId="77777777" w:rsidR="007916F4" w:rsidRPr="007916F4" w:rsidRDefault="00000000" w:rsidP="007916F4">
      <w:pPr>
        <w:pStyle w:val="NoSpacing"/>
      </w:pPr>
      <w:hyperlink r:id="rId39" w:history="1">
        <w:r w:rsidR="007916F4" w:rsidRPr="007916F4">
          <w:rPr>
            <w:rStyle w:val="Hyperlink"/>
            <w:sz w:val="18"/>
            <w:szCs w:val="18"/>
          </w:rPr>
          <w:t>pib.gov.in/PressReleaseIframePage.aspx?PRID=1992732</w:t>
        </w:r>
      </w:hyperlink>
    </w:p>
    <w:p w14:paraId="5CD67B6A" w14:textId="7739E474" w:rsidR="007916F4" w:rsidRPr="007916F4" w:rsidRDefault="00000000" w:rsidP="007916F4">
      <w:pPr>
        <w:pStyle w:val="NoSpacing"/>
        <w:rPr>
          <w:rStyle w:val="Hyperlink"/>
          <w:sz w:val="18"/>
          <w:szCs w:val="18"/>
        </w:rPr>
      </w:pPr>
      <w:hyperlink r:id="rId40" w:history="1">
        <w:r w:rsidR="007916F4" w:rsidRPr="007916F4">
          <w:rPr>
            <w:rStyle w:val="Hyperlink"/>
            <w:sz w:val="18"/>
            <w:szCs w:val="18"/>
          </w:rPr>
          <w:t>Renewables in Russia – Analysis - IEA</w:t>
        </w:r>
      </w:hyperlink>
    </w:p>
    <w:p w14:paraId="1304298E" w14:textId="02FE3094" w:rsidR="007916F4" w:rsidRPr="007916F4" w:rsidRDefault="00796B98" w:rsidP="007916F4">
      <w:pPr>
        <w:rPr>
          <w:b/>
          <w:bCs/>
          <w:sz w:val="18"/>
          <w:szCs w:val="18"/>
        </w:rPr>
      </w:pPr>
      <w:r w:rsidRPr="007916F4">
        <w:rPr>
          <w:b/>
          <w:bCs/>
          <w:noProof/>
        </w:rPr>
        <mc:AlternateContent>
          <mc:Choice Requires="wps">
            <w:drawing>
              <wp:anchor distT="0" distB="0" distL="114300" distR="114300" simplePos="0" relativeHeight="251665408" behindDoc="0" locked="0" layoutInCell="1" allowOverlap="1" wp14:anchorId="01B32A0A" wp14:editId="6C9A49BF">
                <wp:simplePos x="0" y="0"/>
                <wp:positionH relativeFrom="margin">
                  <wp:align>center</wp:align>
                </wp:positionH>
                <wp:positionV relativeFrom="paragraph">
                  <wp:posOffset>183946</wp:posOffset>
                </wp:positionV>
                <wp:extent cx="7599680" cy="0"/>
                <wp:effectExtent l="0" t="0" r="0" b="0"/>
                <wp:wrapNone/>
                <wp:docPr id="104959080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6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083360" id="_x0000_t32" coordsize="21600,21600" o:spt="32" o:oned="t" path="m,l21600,21600e" filled="f">
                <v:path arrowok="t" fillok="f" o:connecttype="none"/>
                <o:lock v:ext="edit" shapetype="t"/>
              </v:shapetype>
              <v:shape id="AutoShape 11" o:spid="_x0000_s1026" type="#_x0000_t32" style="position:absolute;margin-left:0;margin-top:14.5pt;width:598.4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">
                <w10:wrap anchorx="margin"/>
              </v:shape>
            </w:pict>
          </mc:Fallback>
        </mc:AlternateContent>
      </w:r>
    </w:p>
    <w:p w14:paraId="03C9DA49" w14:textId="47525A78" w:rsidR="007916F4" w:rsidRPr="007916F4" w:rsidRDefault="007916F4" w:rsidP="007916F4">
      <w:pPr>
        <w:rPr>
          <w:b/>
          <w:bCs/>
          <w:sz w:val="24"/>
          <w:szCs w:val="24"/>
          <w:u w:val="single"/>
        </w:rPr>
      </w:pPr>
      <w:r w:rsidRPr="007916F4">
        <w:rPr>
          <w:b/>
          <w:bCs/>
          <w:sz w:val="24"/>
          <w:szCs w:val="24"/>
          <w:u w:val="single"/>
        </w:rPr>
        <w:t xml:space="preserve">Data Sources </w:t>
      </w:r>
    </w:p>
    <w:p w14:paraId="71C7C38F" w14:textId="77777777" w:rsidR="007916F4" w:rsidRPr="007916F4" w:rsidRDefault="00000000" w:rsidP="007916F4">
      <w:pPr>
        <w:pStyle w:val="NoSpacing"/>
        <w:rPr>
          <w:b/>
          <w:bCs/>
        </w:rPr>
      </w:pPr>
      <w:hyperlink r:id="rId41" w:history="1">
        <w:r w:rsidR="007916F4" w:rsidRPr="007916F4">
          <w:rPr>
            <w:rStyle w:val="Hyperlink"/>
            <w:sz w:val="18"/>
            <w:szCs w:val="18"/>
          </w:rPr>
          <w:t>U.S. GDP Per Capita 1960-2024 | MacroTrends</w:t>
        </w:r>
      </w:hyperlink>
    </w:p>
    <w:p w14:paraId="17A64920" w14:textId="77777777" w:rsidR="007916F4" w:rsidRPr="007916F4" w:rsidRDefault="00000000" w:rsidP="007916F4">
      <w:pPr>
        <w:pStyle w:val="NoSpacing"/>
      </w:pPr>
      <w:hyperlink r:id="rId42" w:history="1">
        <w:r w:rsidR="007916F4" w:rsidRPr="007916F4">
          <w:rPr>
            <w:rStyle w:val="Hyperlink"/>
            <w:sz w:val="18"/>
            <w:szCs w:val="18"/>
          </w:rPr>
          <w:t>Data download (opec.org)</w:t>
        </w:r>
      </w:hyperlink>
    </w:p>
    <w:p w14:paraId="615013FC" w14:textId="77777777" w:rsidR="007916F4" w:rsidRPr="007916F4" w:rsidRDefault="00000000" w:rsidP="007916F4">
      <w:pPr>
        <w:pStyle w:val="NoSpacing"/>
      </w:pPr>
      <w:hyperlink r:id="rId43" w:history="1">
        <w:r w:rsidR="007916F4" w:rsidRPr="007916F4">
          <w:rPr>
            <w:rStyle w:val="Hyperlink"/>
            <w:rFonts w:ascii="Times New Roman" w:hAnsi="Times New Roman" w:cs="Times New Roman"/>
            <w:sz w:val="18"/>
            <w:szCs w:val="18"/>
          </w:rPr>
          <w:t>Ourworldindata</w:t>
        </w:r>
      </w:hyperlink>
    </w:p>
    <w:p w14:paraId="3FB279D7" w14:textId="4BB0646D" w:rsidR="00E02B95" w:rsidRPr="007916F4" w:rsidRDefault="00000000" w:rsidP="007916F4">
      <w:pPr>
        <w:pStyle w:val="NoSpacing"/>
      </w:pPr>
      <w:hyperlink r:id="rId44" w:history="1">
        <w:r w:rsidR="007916F4" w:rsidRPr="007916F4">
          <w:rPr>
            <w:rStyle w:val="Hyperlink"/>
            <w:sz w:val="18"/>
            <w:szCs w:val="18"/>
          </w:rPr>
          <w:t>Yahoo Finance - Stock Market Live, Quotes, Business &amp; Finance News</w:t>
        </w:r>
      </w:hyperlink>
    </w:p>
    <w:p w14:paraId="39D9B496" w14:textId="77777777" w:rsidR="00E02B95" w:rsidRDefault="00E02B95" w:rsidP="00E54A6D"/>
    <w:p w14:paraId="2481C5D9" w14:textId="5093D906" w:rsidR="00E02B95" w:rsidRDefault="00E02B95" w:rsidP="00E54A6D"/>
    <w:p w14:paraId="29D36C31" w14:textId="5E94B421" w:rsidR="00E02B95" w:rsidRDefault="00E02B95" w:rsidP="00E54A6D"/>
    <w:p w14:paraId="53002D67" w14:textId="09CF3BD2" w:rsidR="000223CF" w:rsidRDefault="00796B98" w:rsidP="00935433">
      <w:pPr>
        <w:jc w:val="center"/>
        <w:rPr>
          <w:u w:val="single"/>
        </w:rPr>
      </w:pPr>
      <w:r>
        <w:rPr>
          <w:rFonts w:ascii="Times New Roman" w:hAnsi="Times New Roman" w:cs="Times New Roman"/>
          <w:b/>
          <w:bCs/>
          <w:noProof/>
          <w:sz w:val="28"/>
          <w:szCs w:val="28"/>
          <w:u w:val="single"/>
        </w:rPr>
        <mc:AlternateContent>
          <mc:Choice Requires="wps">
            <w:drawing>
              <wp:anchor distT="0" distB="0" distL="114300" distR="114300" simplePos="0" relativeHeight="251703296" behindDoc="0" locked="0" layoutInCell="1" allowOverlap="1" wp14:anchorId="67C79E86" wp14:editId="32ACE655">
                <wp:simplePos x="0" y="0"/>
                <wp:positionH relativeFrom="page">
                  <wp:posOffset>-86264</wp:posOffset>
                </wp:positionH>
                <wp:positionV relativeFrom="paragraph">
                  <wp:posOffset>806438</wp:posOffset>
                </wp:positionV>
                <wp:extent cx="8082340" cy="586596"/>
                <wp:effectExtent l="0" t="0" r="13970" b="23495"/>
                <wp:wrapNone/>
                <wp:docPr id="597450047" name="Rectangle: Diagonal Corners Rounded 8"/>
                <wp:cNvGraphicFramePr/>
                <a:graphic xmlns:a="http://schemas.openxmlformats.org/drawingml/2006/main">
                  <a:graphicData uri="http://schemas.microsoft.com/office/word/2010/wordprocessingShape">
                    <wps:wsp>
                      <wps:cNvSpPr/>
                      <wps:spPr>
                        <a:xfrm>
                          <a:off x="0" y="0"/>
                          <a:ext cx="8082340" cy="586596"/>
                        </a:xfrm>
                        <a:prstGeom prst="round2DiagRect">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C9D02" id="Rectangle: Diagonal Corners Rounded 8" o:spid="_x0000_s1026" style="position:absolute;margin-left:-6.8pt;margin-top:63.5pt;width:636.4pt;height:46.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82340,58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" path="m97768,l8082340,r,l8082340,488828v,53996,-43772,97768,-97768,97768l,586596r,l,97768c,43772,43772,,97768,xe" fillcolor="#404040 [2429]" strokecolor="#030e13 [484]" strokeweight="1pt">
                <v:stroke joinstyle="miter"/>
                <v:path arrowok="t" o:connecttype="custom" o:connectlocs="97768,0;8082340,0;8082340,0;8082340,488828;7984572,586596;0,586596;0,586596;0,97768;97768,0" o:connectangles="0,0,0,0,0,0,0,0,0"/>
                <w10:wrap anchorx="page"/>
              </v:shape>
            </w:pict>
          </mc:Fallback>
        </mc:AlternateContent>
      </w:r>
    </w:p>
    <w:p w14:paraId="412251A2" w14:textId="77777777" w:rsidR="00FA1ED2" w:rsidRPr="00FA1ED2" w:rsidRDefault="00FA1ED2" w:rsidP="00E54A6D"/>
    <w:sectPr w:rsidR="00FA1ED2" w:rsidRPr="00FA1E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495CE" w14:textId="77777777" w:rsidR="000C7C7B" w:rsidRDefault="000C7C7B" w:rsidP="00787FA9">
      <w:pPr>
        <w:spacing w:after="0" w:line="240" w:lineRule="auto"/>
      </w:pPr>
      <w:r>
        <w:separator/>
      </w:r>
    </w:p>
  </w:endnote>
  <w:endnote w:type="continuationSeparator" w:id="0">
    <w:p w14:paraId="183926AA" w14:textId="77777777" w:rsidR="000C7C7B" w:rsidRDefault="000C7C7B" w:rsidP="00787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0E489" w14:textId="77777777" w:rsidR="000C7C7B" w:rsidRDefault="000C7C7B" w:rsidP="00787FA9">
      <w:pPr>
        <w:spacing w:after="0" w:line="240" w:lineRule="auto"/>
      </w:pPr>
      <w:r>
        <w:separator/>
      </w:r>
    </w:p>
  </w:footnote>
  <w:footnote w:type="continuationSeparator" w:id="0">
    <w:p w14:paraId="2CC47EBA" w14:textId="77777777" w:rsidR="000C7C7B" w:rsidRDefault="000C7C7B" w:rsidP="00787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78E3"/>
    <w:multiLevelType w:val="hybridMultilevel"/>
    <w:tmpl w:val="0B2C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81E16"/>
    <w:multiLevelType w:val="hybridMultilevel"/>
    <w:tmpl w:val="6EA4091E"/>
    <w:lvl w:ilvl="0" w:tplc="70FAACCA">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2417C"/>
    <w:multiLevelType w:val="hybridMultilevel"/>
    <w:tmpl w:val="28AEF070"/>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2C4F1C"/>
    <w:multiLevelType w:val="hybridMultilevel"/>
    <w:tmpl w:val="451A843A"/>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82E24"/>
    <w:multiLevelType w:val="hybridMultilevel"/>
    <w:tmpl w:val="9462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CC1E3C"/>
    <w:multiLevelType w:val="hybridMultilevel"/>
    <w:tmpl w:val="3D8ED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A5B9B"/>
    <w:multiLevelType w:val="hybridMultilevel"/>
    <w:tmpl w:val="4C3C32AC"/>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90323"/>
    <w:multiLevelType w:val="multilevel"/>
    <w:tmpl w:val="E948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02D49"/>
    <w:multiLevelType w:val="hybridMultilevel"/>
    <w:tmpl w:val="2FBC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947C35"/>
    <w:multiLevelType w:val="hybridMultilevel"/>
    <w:tmpl w:val="A8C0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B947E8"/>
    <w:multiLevelType w:val="hybridMultilevel"/>
    <w:tmpl w:val="C1C8B082"/>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7490E"/>
    <w:multiLevelType w:val="hybridMultilevel"/>
    <w:tmpl w:val="A3DE1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12A73"/>
    <w:multiLevelType w:val="hybridMultilevel"/>
    <w:tmpl w:val="599C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0469F3"/>
    <w:multiLevelType w:val="hybridMultilevel"/>
    <w:tmpl w:val="AFB4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327CC"/>
    <w:multiLevelType w:val="hybridMultilevel"/>
    <w:tmpl w:val="0E94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91121"/>
    <w:multiLevelType w:val="hybridMultilevel"/>
    <w:tmpl w:val="B032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919DE"/>
    <w:multiLevelType w:val="hybridMultilevel"/>
    <w:tmpl w:val="22545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565342"/>
    <w:multiLevelType w:val="hybridMultilevel"/>
    <w:tmpl w:val="C8946410"/>
    <w:lvl w:ilvl="0" w:tplc="9248767E">
      <w:start w:val="2022"/>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A209B"/>
    <w:multiLevelType w:val="hybridMultilevel"/>
    <w:tmpl w:val="3CDC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C691D"/>
    <w:multiLevelType w:val="hybridMultilevel"/>
    <w:tmpl w:val="7C1A5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502932"/>
    <w:multiLevelType w:val="hybridMultilevel"/>
    <w:tmpl w:val="20827902"/>
    <w:lvl w:ilvl="0" w:tplc="9248767E">
      <w:start w:val="2022"/>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F74AF3"/>
    <w:multiLevelType w:val="hybridMultilevel"/>
    <w:tmpl w:val="18CED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C3CE3"/>
    <w:multiLevelType w:val="hybridMultilevel"/>
    <w:tmpl w:val="1A4EAD00"/>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C861AF"/>
    <w:multiLevelType w:val="hybridMultilevel"/>
    <w:tmpl w:val="72C8C7C0"/>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010552"/>
    <w:multiLevelType w:val="hybridMultilevel"/>
    <w:tmpl w:val="8B023CE4"/>
    <w:lvl w:ilvl="0" w:tplc="9248767E">
      <w:start w:val="2022"/>
      <w:numFmt w:val="bullet"/>
      <w:lvlText w:val=""/>
      <w:lvlJc w:val="left"/>
      <w:pPr>
        <w:ind w:left="2160" w:hanging="360"/>
      </w:pPr>
      <w:rPr>
        <w:rFonts w:ascii="Symbol" w:eastAsiaTheme="minorEastAsia"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42C281D"/>
    <w:multiLevelType w:val="hybridMultilevel"/>
    <w:tmpl w:val="2590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92FA3"/>
    <w:multiLevelType w:val="hybridMultilevel"/>
    <w:tmpl w:val="7E4C9924"/>
    <w:lvl w:ilvl="0" w:tplc="9248767E">
      <w:start w:val="2022"/>
      <w:numFmt w:val="bullet"/>
      <w:lvlText w:val=""/>
      <w:lvlJc w:val="left"/>
      <w:pPr>
        <w:ind w:left="1800" w:hanging="360"/>
      </w:pPr>
      <w:rPr>
        <w:rFonts w:ascii="Symbol" w:eastAsiaTheme="minorEastAsia"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5802091"/>
    <w:multiLevelType w:val="hybridMultilevel"/>
    <w:tmpl w:val="118A2D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E67CC5"/>
    <w:multiLevelType w:val="hybridMultilevel"/>
    <w:tmpl w:val="ED14D33A"/>
    <w:lvl w:ilvl="0" w:tplc="9248767E">
      <w:start w:val="202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15DF3"/>
    <w:multiLevelType w:val="hybridMultilevel"/>
    <w:tmpl w:val="05841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032BA"/>
    <w:multiLevelType w:val="hybridMultilevel"/>
    <w:tmpl w:val="8F505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E51D5D"/>
    <w:multiLevelType w:val="hybridMultilevel"/>
    <w:tmpl w:val="475C2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504629">
    <w:abstractNumId w:val="18"/>
  </w:num>
  <w:num w:numId="2" w16cid:durableId="1220289209">
    <w:abstractNumId w:val="14"/>
  </w:num>
  <w:num w:numId="3" w16cid:durableId="217208618">
    <w:abstractNumId w:val="8"/>
  </w:num>
  <w:num w:numId="4" w16cid:durableId="262568630">
    <w:abstractNumId w:val="30"/>
  </w:num>
  <w:num w:numId="5" w16cid:durableId="760217924">
    <w:abstractNumId w:val="15"/>
  </w:num>
  <w:num w:numId="6" w16cid:durableId="1515343034">
    <w:abstractNumId w:val="16"/>
  </w:num>
  <w:num w:numId="7" w16cid:durableId="718211949">
    <w:abstractNumId w:val="31"/>
  </w:num>
  <w:num w:numId="8" w16cid:durableId="1359966950">
    <w:abstractNumId w:val="13"/>
  </w:num>
  <w:num w:numId="9" w16cid:durableId="254434868">
    <w:abstractNumId w:val="9"/>
  </w:num>
  <w:num w:numId="10" w16cid:durableId="1101488882">
    <w:abstractNumId w:val="11"/>
  </w:num>
  <w:num w:numId="11" w16cid:durableId="812451527">
    <w:abstractNumId w:val="5"/>
  </w:num>
  <w:num w:numId="12" w16cid:durableId="156766988">
    <w:abstractNumId w:val="25"/>
  </w:num>
  <w:num w:numId="13" w16cid:durableId="1436439853">
    <w:abstractNumId w:val="29"/>
  </w:num>
  <w:num w:numId="14" w16cid:durableId="2029602540">
    <w:abstractNumId w:val="7"/>
  </w:num>
  <w:num w:numId="15" w16cid:durableId="735591602">
    <w:abstractNumId w:val="4"/>
  </w:num>
  <w:num w:numId="16" w16cid:durableId="958680327">
    <w:abstractNumId w:val="12"/>
  </w:num>
  <w:num w:numId="17" w16cid:durableId="1726635353">
    <w:abstractNumId w:val="19"/>
  </w:num>
  <w:num w:numId="18" w16cid:durableId="1703482729">
    <w:abstractNumId w:val="0"/>
  </w:num>
  <w:num w:numId="19" w16cid:durableId="278687833">
    <w:abstractNumId w:val="27"/>
  </w:num>
  <w:num w:numId="20" w16cid:durableId="1174606984">
    <w:abstractNumId w:val="21"/>
  </w:num>
  <w:num w:numId="21" w16cid:durableId="1005127841">
    <w:abstractNumId w:val="1"/>
  </w:num>
  <w:num w:numId="22" w16cid:durableId="213470961">
    <w:abstractNumId w:val="2"/>
  </w:num>
  <w:num w:numId="23" w16cid:durableId="189496767">
    <w:abstractNumId w:val="28"/>
  </w:num>
  <w:num w:numId="24" w16cid:durableId="1918704173">
    <w:abstractNumId w:val="26"/>
  </w:num>
  <w:num w:numId="25" w16cid:durableId="422187951">
    <w:abstractNumId w:val="20"/>
  </w:num>
  <w:num w:numId="26" w16cid:durableId="528185134">
    <w:abstractNumId w:val="24"/>
  </w:num>
  <w:num w:numId="27" w16cid:durableId="1378506639">
    <w:abstractNumId w:val="23"/>
  </w:num>
  <w:num w:numId="28" w16cid:durableId="110632003">
    <w:abstractNumId w:val="22"/>
  </w:num>
  <w:num w:numId="29" w16cid:durableId="2129616714">
    <w:abstractNumId w:val="17"/>
  </w:num>
  <w:num w:numId="30" w16cid:durableId="850951487">
    <w:abstractNumId w:val="10"/>
  </w:num>
  <w:num w:numId="31" w16cid:durableId="1862358048">
    <w:abstractNumId w:val="3"/>
  </w:num>
  <w:num w:numId="32" w16cid:durableId="21298134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2F6"/>
    <w:rsid w:val="000012AF"/>
    <w:rsid w:val="0000477E"/>
    <w:rsid w:val="00006CB7"/>
    <w:rsid w:val="00007439"/>
    <w:rsid w:val="0001696E"/>
    <w:rsid w:val="00016CB4"/>
    <w:rsid w:val="00020D0C"/>
    <w:rsid w:val="000223CF"/>
    <w:rsid w:val="0002703E"/>
    <w:rsid w:val="000276BD"/>
    <w:rsid w:val="00034624"/>
    <w:rsid w:val="00034D09"/>
    <w:rsid w:val="00037030"/>
    <w:rsid w:val="00044BBD"/>
    <w:rsid w:val="00050B46"/>
    <w:rsid w:val="000541F6"/>
    <w:rsid w:val="00055AB2"/>
    <w:rsid w:val="000562F6"/>
    <w:rsid w:val="0006003B"/>
    <w:rsid w:val="000608F6"/>
    <w:rsid w:val="000640A7"/>
    <w:rsid w:val="000655EB"/>
    <w:rsid w:val="0006618E"/>
    <w:rsid w:val="00081EA7"/>
    <w:rsid w:val="0008252C"/>
    <w:rsid w:val="00085633"/>
    <w:rsid w:val="00085FA6"/>
    <w:rsid w:val="00086B68"/>
    <w:rsid w:val="000870D9"/>
    <w:rsid w:val="00090895"/>
    <w:rsid w:val="00095860"/>
    <w:rsid w:val="000A4DDA"/>
    <w:rsid w:val="000B041D"/>
    <w:rsid w:val="000B2CA1"/>
    <w:rsid w:val="000B3512"/>
    <w:rsid w:val="000B6094"/>
    <w:rsid w:val="000B6B4E"/>
    <w:rsid w:val="000C7C7B"/>
    <w:rsid w:val="000C7CF8"/>
    <w:rsid w:val="000D3E5A"/>
    <w:rsid w:val="000D5240"/>
    <w:rsid w:val="000D7B7A"/>
    <w:rsid w:val="000E0A74"/>
    <w:rsid w:val="000E1879"/>
    <w:rsid w:val="000F2FE9"/>
    <w:rsid w:val="000F6916"/>
    <w:rsid w:val="00105494"/>
    <w:rsid w:val="00112897"/>
    <w:rsid w:val="0012202A"/>
    <w:rsid w:val="00125E43"/>
    <w:rsid w:val="001407A8"/>
    <w:rsid w:val="00141988"/>
    <w:rsid w:val="00142C20"/>
    <w:rsid w:val="0014350C"/>
    <w:rsid w:val="001436BD"/>
    <w:rsid w:val="00143C1B"/>
    <w:rsid w:val="00146CD7"/>
    <w:rsid w:val="00146EE8"/>
    <w:rsid w:val="001476B8"/>
    <w:rsid w:val="001555F0"/>
    <w:rsid w:val="00160DBE"/>
    <w:rsid w:val="00160E8D"/>
    <w:rsid w:val="001619AB"/>
    <w:rsid w:val="001621C3"/>
    <w:rsid w:val="00163A01"/>
    <w:rsid w:val="0017203E"/>
    <w:rsid w:val="001741B6"/>
    <w:rsid w:val="00175E42"/>
    <w:rsid w:val="00181854"/>
    <w:rsid w:val="0018734C"/>
    <w:rsid w:val="0019027B"/>
    <w:rsid w:val="0019089F"/>
    <w:rsid w:val="001958AB"/>
    <w:rsid w:val="001978FD"/>
    <w:rsid w:val="001A394E"/>
    <w:rsid w:val="001A5514"/>
    <w:rsid w:val="001A6AD6"/>
    <w:rsid w:val="001A7C0D"/>
    <w:rsid w:val="001B46B7"/>
    <w:rsid w:val="001B6E6B"/>
    <w:rsid w:val="001C35DF"/>
    <w:rsid w:val="001C5BE6"/>
    <w:rsid w:val="001C6231"/>
    <w:rsid w:val="001D4B73"/>
    <w:rsid w:val="001D74A2"/>
    <w:rsid w:val="001E11AA"/>
    <w:rsid w:val="001E582C"/>
    <w:rsid w:val="001E67A9"/>
    <w:rsid w:val="001F0587"/>
    <w:rsid w:val="001F24F3"/>
    <w:rsid w:val="001F6417"/>
    <w:rsid w:val="0020118D"/>
    <w:rsid w:val="0020500E"/>
    <w:rsid w:val="00205319"/>
    <w:rsid w:val="0020540C"/>
    <w:rsid w:val="00206578"/>
    <w:rsid w:val="0021579C"/>
    <w:rsid w:val="002201F6"/>
    <w:rsid w:val="00221C9D"/>
    <w:rsid w:val="0022366F"/>
    <w:rsid w:val="00233149"/>
    <w:rsid w:val="00235ADA"/>
    <w:rsid w:val="00236E8D"/>
    <w:rsid w:val="00241813"/>
    <w:rsid w:val="002419F7"/>
    <w:rsid w:val="002438CA"/>
    <w:rsid w:val="0024433C"/>
    <w:rsid w:val="00247823"/>
    <w:rsid w:val="002570AE"/>
    <w:rsid w:val="00261BDA"/>
    <w:rsid w:val="00262031"/>
    <w:rsid w:val="00280267"/>
    <w:rsid w:val="00286A60"/>
    <w:rsid w:val="002955C0"/>
    <w:rsid w:val="002A418A"/>
    <w:rsid w:val="002A5360"/>
    <w:rsid w:val="002A5E51"/>
    <w:rsid w:val="002A7512"/>
    <w:rsid w:val="002C064E"/>
    <w:rsid w:val="002C1A54"/>
    <w:rsid w:val="002C4632"/>
    <w:rsid w:val="002C5174"/>
    <w:rsid w:val="002C79D3"/>
    <w:rsid w:val="002D097B"/>
    <w:rsid w:val="002D35F4"/>
    <w:rsid w:val="002D4E2B"/>
    <w:rsid w:val="002D5DAD"/>
    <w:rsid w:val="002D5F85"/>
    <w:rsid w:val="002D7543"/>
    <w:rsid w:val="002E1E96"/>
    <w:rsid w:val="002E23E0"/>
    <w:rsid w:val="002E7341"/>
    <w:rsid w:val="002F6174"/>
    <w:rsid w:val="0030212E"/>
    <w:rsid w:val="003078C7"/>
    <w:rsid w:val="00312142"/>
    <w:rsid w:val="00315211"/>
    <w:rsid w:val="0032159C"/>
    <w:rsid w:val="00327C74"/>
    <w:rsid w:val="003304B0"/>
    <w:rsid w:val="00334228"/>
    <w:rsid w:val="0034393F"/>
    <w:rsid w:val="0034473B"/>
    <w:rsid w:val="00352B68"/>
    <w:rsid w:val="00360163"/>
    <w:rsid w:val="00361E1D"/>
    <w:rsid w:val="00361EB2"/>
    <w:rsid w:val="00363646"/>
    <w:rsid w:val="00367E4D"/>
    <w:rsid w:val="00372484"/>
    <w:rsid w:val="003742C3"/>
    <w:rsid w:val="00376134"/>
    <w:rsid w:val="00383443"/>
    <w:rsid w:val="00385A3D"/>
    <w:rsid w:val="00391E8D"/>
    <w:rsid w:val="003920DC"/>
    <w:rsid w:val="003A3761"/>
    <w:rsid w:val="003A42D1"/>
    <w:rsid w:val="003B0D42"/>
    <w:rsid w:val="003B3913"/>
    <w:rsid w:val="003B4C17"/>
    <w:rsid w:val="003B6243"/>
    <w:rsid w:val="003D302B"/>
    <w:rsid w:val="003D59AD"/>
    <w:rsid w:val="003D6F81"/>
    <w:rsid w:val="003E32EC"/>
    <w:rsid w:val="003E585E"/>
    <w:rsid w:val="003E5E86"/>
    <w:rsid w:val="003E6AC8"/>
    <w:rsid w:val="003E7663"/>
    <w:rsid w:val="003F22DC"/>
    <w:rsid w:val="003F3C3B"/>
    <w:rsid w:val="003F6AEE"/>
    <w:rsid w:val="003F7276"/>
    <w:rsid w:val="00406B85"/>
    <w:rsid w:val="00410CB3"/>
    <w:rsid w:val="00411CC9"/>
    <w:rsid w:val="00413E14"/>
    <w:rsid w:val="00430FD9"/>
    <w:rsid w:val="00446AED"/>
    <w:rsid w:val="00451779"/>
    <w:rsid w:val="0045476A"/>
    <w:rsid w:val="004552E7"/>
    <w:rsid w:val="00460590"/>
    <w:rsid w:val="0046235A"/>
    <w:rsid w:val="004650A3"/>
    <w:rsid w:val="00467D7B"/>
    <w:rsid w:val="00467FE9"/>
    <w:rsid w:val="00470169"/>
    <w:rsid w:val="004710AE"/>
    <w:rsid w:val="00472E3A"/>
    <w:rsid w:val="00477C89"/>
    <w:rsid w:val="00477FCB"/>
    <w:rsid w:val="004809C8"/>
    <w:rsid w:val="00481EF6"/>
    <w:rsid w:val="00482162"/>
    <w:rsid w:val="0048272E"/>
    <w:rsid w:val="0049570D"/>
    <w:rsid w:val="004A2254"/>
    <w:rsid w:val="004A6692"/>
    <w:rsid w:val="004B015B"/>
    <w:rsid w:val="004B3C86"/>
    <w:rsid w:val="004B4E91"/>
    <w:rsid w:val="004B7B7B"/>
    <w:rsid w:val="004C77A3"/>
    <w:rsid w:val="004D0AAC"/>
    <w:rsid w:val="004E04ED"/>
    <w:rsid w:val="004E5408"/>
    <w:rsid w:val="004F3389"/>
    <w:rsid w:val="00505D86"/>
    <w:rsid w:val="00506BA6"/>
    <w:rsid w:val="00512807"/>
    <w:rsid w:val="00514BC3"/>
    <w:rsid w:val="00514BFD"/>
    <w:rsid w:val="00514DEA"/>
    <w:rsid w:val="005173A1"/>
    <w:rsid w:val="00517ACC"/>
    <w:rsid w:val="00521797"/>
    <w:rsid w:val="005219AD"/>
    <w:rsid w:val="005225A1"/>
    <w:rsid w:val="00522929"/>
    <w:rsid w:val="00523770"/>
    <w:rsid w:val="00527DE3"/>
    <w:rsid w:val="00532B54"/>
    <w:rsid w:val="00533819"/>
    <w:rsid w:val="00540D52"/>
    <w:rsid w:val="00542128"/>
    <w:rsid w:val="00542155"/>
    <w:rsid w:val="00542FEA"/>
    <w:rsid w:val="005442CF"/>
    <w:rsid w:val="00545F3C"/>
    <w:rsid w:val="00546AE8"/>
    <w:rsid w:val="00546B0A"/>
    <w:rsid w:val="00546DDF"/>
    <w:rsid w:val="00554A85"/>
    <w:rsid w:val="00565F86"/>
    <w:rsid w:val="00566077"/>
    <w:rsid w:val="00571545"/>
    <w:rsid w:val="005737AC"/>
    <w:rsid w:val="005803EE"/>
    <w:rsid w:val="00581741"/>
    <w:rsid w:val="00582A37"/>
    <w:rsid w:val="005871F2"/>
    <w:rsid w:val="0059199C"/>
    <w:rsid w:val="00593981"/>
    <w:rsid w:val="00594C6B"/>
    <w:rsid w:val="00597BBD"/>
    <w:rsid w:val="005A336E"/>
    <w:rsid w:val="005A6E0E"/>
    <w:rsid w:val="005B0D5D"/>
    <w:rsid w:val="005C047A"/>
    <w:rsid w:val="005C2CD4"/>
    <w:rsid w:val="005C5CFD"/>
    <w:rsid w:val="005E7C7B"/>
    <w:rsid w:val="005F1358"/>
    <w:rsid w:val="005F1529"/>
    <w:rsid w:val="005F7863"/>
    <w:rsid w:val="005F7BB9"/>
    <w:rsid w:val="00601BC8"/>
    <w:rsid w:val="00607FD1"/>
    <w:rsid w:val="00617387"/>
    <w:rsid w:val="006173BB"/>
    <w:rsid w:val="00621889"/>
    <w:rsid w:val="00622C78"/>
    <w:rsid w:val="00623CE8"/>
    <w:rsid w:val="00631C65"/>
    <w:rsid w:val="00633301"/>
    <w:rsid w:val="006338CF"/>
    <w:rsid w:val="00636944"/>
    <w:rsid w:val="00643B4E"/>
    <w:rsid w:val="0065606B"/>
    <w:rsid w:val="0066320C"/>
    <w:rsid w:val="00664050"/>
    <w:rsid w:val="006650A6"/>
    <w:rsid w:val="00666311"/>
    <w:rsid w:val="0067049B"/>
    <w:rsid w:val="006735C4"/>
    <w:rsid w:val="0068007A"/>
    <w:rsid w:val="00681742"/>
    <w:rsid w:val="00687FEE"/>
    <w:rsid w:val="0069382F"/>
    <w:rsid w:val="00695568"/>
    <w:rsid w:val="00695C82"/>
    <w:rsid w:val="006969BA"/>
    <w:rsid w:val="006B181D"/>
    <w:rsid w:val="006C7739"/>
    <w:rsid w:val="006C7C6C"/>
    <w:rsid w:val="006E11DE"/>
    <w:rsid w:val="006E14B0"/>
    <w:rsid w:val="006E3F96"/>
    <w:rsid w:val="006E4D05"/>
    <w:rsid w:val="006E4FEC"/>
    <w:rsid w:val="006E70BF"/>
    <w:rsid w:val="006F1E0D"/>
    <w:rsid w:val="006F4568"/>
    <w:rsid w:val="006F6118"/>
    <w:rsid w:val="007066DF"/>
    <w:rsid w:val="007149DE"/>
    <w:rsid w:val="0072035F"/>
    <w:rsid w:val="00722DBE"/>
    <w:rsid w:val="00725596"/>
    <w:rsid w:val="0072685C"/>
    <w:rsid w:val="00726963"/>
    <w:rsid w:val="007301B1"/>
    <w:rsid w:val="00730DBE"/>
    <w:rsid w:val="00740C0E"/>
    <w:rsid w:val="00744DFC"/>
    <w:rsid w:val="00754CB0"/>
    <w:rsid w:val="007553E8"/>
    <w:rsid w:val="00756173"/>
    <w:rsid w:val="0075734D"/>
    <w:rsid w:val="00763CD7"/>
    <w:rsid w:val="007657EE"/>
    <w:rsid w:val="0076603D"/>
    <w:rsid w:val="00771A90"/>
    <w:rsid w:val="00772BA1"/>
    <w:rsid w:val="00773C43"/>
    <w:rsid w:val="007758AD"/>
    <w:rsid w:val="00783695"/>
    <w:rsid w:val="00786600"/>
    <w:rsid w:val="00787FA9"/>
    <w:rsid w:val="007916F4"/>
    <w:rsid w:val="007923CD"/>
    <w:rsid w:val="0079387D"/>
    <w:rsid w:val="007949BF"/>
    <w:rsid w:val="00796B98"/>
    <w:rsid w:val="007A14AE"/>
    <w:rsid w:val="007A3628"/>
    <w:rsid w:val="007A40F1"/>
    <w:rsid w:val="007A4669"/>
    <w:rsid w:val="007A647D"/>
    <w:rsid w:val="007B1394"/>
    <w:rsid w:val="007B2DA8"/>
    <w:rsid w:val="007B50DB"/>
    <w:rsid w:val="007C0E60"/>
    <w:rsid w:val="007C0FBE"/>
    <w:rsid w:val="007C5C71"/>
    <w:rsid w:val="007C6C43"/>
    <w:rsid w:val="007D0044"/>
    <w:rsid w:val="007D46A7"/>
    <w:rsid w:val="007D60C5"/>
    <w:rsid w:val="007D71D7"/>
    <w:rsid w:val="007D74D5"/>
    <w:rsid w:val="007E0FE5"/>
    <w:rsid w:val="007E27B9"/>
    <w:rsid w:val="007E37E6"/>
    <w:rsid w:val="007E678B"/>
    <w:rsid w:val="007E689A"/>
    <w:rsid w:val="007E6A9B"/>
    <w:rsid w:val="007F1DF5"/>
    <w:rsid w:val="007F3636"/>
    <w:rsid w:val="008043AC"/>
    <w:rsid w:val="0080729F"/>
    <w:rsid w:val="00816C4A"/>
    <w:rsid w:val="00817C24"/>
    <w:rsid w:val="008214CB"/>
    <w:rsid w:val="00821DEF"/>
    <w:rsid w:val="00826909"/>
    <w:rsid w:val="00832714"/>
    <w:rsid w:val="00834EC0"/>
    <w:rsid w:val="00847652"/>
    <w:rsid w:val="00851433"/>
    <w:rsid w:val="008523B9"/>
    <w:rsid w:val="00853FB9"/>
    <w:rsid w:val="00856397"/>
    <w:rsid w:val="008579E1"/>
    <w:rsid w:val="00860920"/>
    <w:rsid w:val="008768FE"/>
    <w:rsid w:val="0088133C"/>
    <w:rsid w:val="00881CD3"/>
    <w:rsid w:val="00891DD5"/>
    <w:rsid w:val="00892503"/>
    <w:rsid w:val="008930BF"/>
    <w:rsid w:val="008A39FA"/>
    <w:rsid w:val="008A3ABF"/>
    <w:rsid w:val="008A7444"/>
    <w:rsid w:val="008B065F"/>
    <w:rsid w:val="008B3FF1"/>
    <w:rsid w:val="008B43D2"/>
    <w:rsid w:val="008B71BD"/>
    <w:rsid w:val="008C3749"/>
    <w:rsid w:val="008C6532"/>
    <w:rsid w:val="008C7B24"/>
    <w:rsid w:val="008D1E1E"/>
    <w:rsid w:val="008D3781"/>
    <w:rsid w:val="008D518A"/>
    <w:rsid w:val="008D6B88"/>
    <w:rsid w:val="008E2254"/>
    <w:rsid w:val="008E76D8"/>
    <w:rsid w:val="008E7A82"/>
    <w:rsid w:val="008F7A98"/>
    <w:rsid w:val="00902168"/>
    <w:rsid w:val="009037F7"/>
    <w:rsid w:val="0090386A"/>
    <w:rsid w:val="009046A5"/>
    <w:rsid w:val="0090642E"/>
    <w:rsid w:val="0090759E"/>
    <w:rsid w:val="0091162A"/>
    <w:rsid w:val="00921F97"/>
    <w:rsid w:val="00924D62"/>
    <w:rsid w:val="0093013F"/>
    <w:rsid w:val="00932B49"/>
    <w:rsid w:val="00935433"/>
    <w:rsid w:val="00940F22"/>
    <w:rsid w:val="0095041F"/>
    <w:rsid w:val="0095315E"/>
    <w:rsid w:val="009545AE"/>
    <w:rsid w:val="009557D2"/>
    <w:rsid w:val="009601CA"/>
    <w:rsid w:val="00962333"/>
    <w:rsid w:val="00964DD1"/>
    <w:rsid w:val="009667FE"/>
    <w:rsid w:val="00966898"/>
    <w:rsid w:val="00966E15"/>
    <w:rsid w:val="00966E7A"/>
    <w:rsid w:val="009733EC"/>
    <w:rsid w:val="00973F8E"/>
    <w:rsid w:val="009755C3"/>
    <w:rsid w:val="0098605E"/>
    <w:rsid w:val="00993D8C"/>
    <w:rsid w:val="009A3274"/>
    <w:rsid w:val="009A4870"/>
    <w:rsid w:val="009A609F"/>
    <w:rsid w:val="009B73E2"/>
    <w:rsid w:val="009B7A32"/>
    <w:rsid w:val="009C2897"/>
    <w:rsid w:val="009D1053"/>
    <w:rsid w:val="009D206F"/>
    <w:rsid w:val="009D5E9A"/>
    <w:rsid w:val="009E06C2"/>
    <w:rsid w:val="009E4F35"/>
    <w:rsid w:val="009E75EE"/>
    <w:rsid w:val="009E7892"/>
    <w:rsid w:val="009F2169"/>
    <w:rsid w:val="009F49C7"/>
    <w:rsid w:val="009F4BFE"/>
    <w:rsid w:val="009F6A04"/>
    <w:rsid w:val="00A020D4"/>
    <w:rsid w:val="00A055D6"/>
    <w:rsid w:val="00A06DDE"/>
    <w:rsid w:val="00A11CA3"/>
    <w:rsid w:val="00A11E29"/>
    <w:rsid w:val="00A124A4"/>
    <w:rsid w:val="00A32762"/>
    <w:rsid w:val="00A33414"/>
    <w:rsid w:val="00A33C22"/>
    <w:rsid w:val="00A346B4"/>
    <w:rsid w:val="00A34C08"/>
    <w:rsid w:val="00A36156"/>
    <w:rsid w:val="00A44E5D"/>
    <w:rsid w:val="00A45D61"/>
    <w:rsid w:val="00A5137F"/>
    <w:rsid w:val="00A51F11"/>
    <w:rsid w:val="00A52FA1"/>
    <w:rsid w:val="00A5384E"/>
    <w:rsid w:val="00A54432"/>
    <w:rsid w:val="00A5732B"/>
    <w:rsid w:val="00A57BDB"/>
    <w:rsid w:val="00A600ED"/>
    <w:rsid w:val="00A65A8D"/>
    <w:rsid w:val="00A718D9"/>
    <w:rsid w:val="00A73E3D"/>
    <w:rsid w:val="00A82D83"/>
    <w:rsid w:val="00A8557C"/>
    <w:rsid w:val="00A8605D"/>
    <w:rsid w:val="00A91712"/>
    <w:rsid w:val="00A92A36"/>
    <w:rsid w:val="00A95727"/>
    <w:rsid w:val="00AA124C"/>
    <w:rsid w:val="00AA3878"/>
    <w:rsid w:val="00AA54F5"/>
    <w:rsid w:val="00AB2033"/>
    <w:rsid w:val="00AB4B3A"/>
    <w:rsid w:val="00AC2466"/>
    <w:rsid w:val="00AC3513"/>
    <w:rsid w:val="00AC39E9"/>
    <w:rsid w:val="00AC42C5"/>
    <w:rsid w:val="00AC6D90"/>
    <w:rsid w:val="00AD08C1"/>
    <w:rsid w:val="00AD2082"/>
    <w:rsid w:val="00AD29BD"/>
    <w:rsid w:val="00AE39A3"/>
    <w:rsid w:val="00AE4698"/>
    <w:rsid w:val="00AE4E43"/>
    <w:rsid w:val="00AE70C3"/>
    <w:rsid w:val="00AF4EF6"/>
    <w:rsid w:val="00B056CB"/>
    <w:rsid w:val="00B135C3"/>
    <w:rsid w:val="00B22F96"/>
    <w:rsid w:val="00B37165"/>
    <w:rsid w:val="00B4049A"/>
    <w:rsid w:val="00B4393D"/>
    <w:rsid w:val="00B50078"/>
    <w:rsid w:val="00B51147"/>
    <w:rsid w:val="00B5585B"/>
    <w:rsid w:val="00B55A7C"/>
    <w:rsid w:val="00B55D8D"/>
    <w:rsid w:val="00B61E73"/>
    <w:rsid w:val="00B6387C"/>
    <w:rsid w:val="00B733D9"/>
    <w:rsid w:val="00B76B19"/>
    <w:rsid w:val="00B8102F"/>
    <w:rsid w:val="00B827D4"/>
    <w:rsid w:val="00B83473"/>
    <w:rsid w:val="00B85645"/>
    <w:rsid w:val="00B87E0B"/>
    <w:rsid w:val="00B90CE9"/>
    <w:rsid w:val="00B90D47"/>
    <w:rsid w:val="00BA1F33"/>
    <w:rsid w:val="00BA2A82"/>
    <w:rsid w:val="00BA7566"/>
    <w:rsid w:val="00BA7605"/>
    <w:rsid w:val="00BB34CC"/>
    <w:rsid w:val="00BB3729"/>
    <w:rsid w:val="00BC112B"/>
    <w:rsid w:val="00BC4425"/>
    <w:rsid w:val="00BC4489"/>
    <w:rsid w:val="00BC744B"/>
    <w:rsid w:val="00BD63D4"/>
    <w:rsid w:val="00BE052A"/>
    <w:rsid w:val="00BE304C"/>
    <w:rsid w:val="00BE3433"/>
    <w:rsid w:val="00BE4C80"/>
    <w:rsid w:val="00BE5888"/>
    <w:rsid w:val="00BE7373"/>
    <w:rsid w:val="00BE74EB"/>
    <w:rsid w:val="00BF01F8"/>
    <w:rsid w:val="00BF0C4A"/>
    <w:rsid w:val="00C00F8F"/>
    <w:rsid w:val="00C028BD"/>
    <w:rsid w:val="00C040E7"/>
    <w:rsid w:val="00C061E0"/>
    <w:rsid w:val="00C06F94"/>
    <w:rsid w:val="00C128E9"/>
    <w:rsid w:val="00C12C92"/>
    <w:rsid w:val="00C13EBE"/>
    <w:rsid w:val="00C14E64"/>
    <w:rsid w:val="00C20EB6"/>
    <w:rsid w:val="00C22381"/>
    <w:rsid w:val="00C312E6"/>
    <w:rsid w:val="00C32937"/>
    <w:rsid w:val="00C41ACE"/>
    <w:rsid w:val="00C42B8E"/>
    <w:rsid w:val="00C50627"/>
    <w:rsid w:val="00C519D4"/>
    <w:rsid w:val="00C52E46"/>
    <w:rsid w:val="00C72409"/>
    <w:rsid w:val="00C76671"/>
    <w:rsid w:val="00C767EF"/>
    <w:rsid w:val="00C80D63"/>
    <w:rsid w:val="00C823B0"/>
    <w:rsid w:val="00C84FAB"/>
    <w:rsid w:val="00C85552"/>
    <w:rsid w:val="00C91404"/>
    <w:rsid w:val="00C92F35"/>
    <w:rsid w:val="00CB401B"/>
    <w:rsid w:val="00CB4266"/>
    <w:rsid w:val="00CB564B"/>
    <w:rsid w:val="00CC0BF5"/>
    <w:rsid w:val="00CC1185"/>
    <w:rsid w:val="00CC1702"/>
    <w:rsid w:val="00CC69C5"/>
    <w:rsid w:val="00CD33A9"/>
    <w:rsid w:val="00CE121F"/>
    <w:rsid w:val="00CE70BA"/>
    <w:rsid w:val="00CF026E"/>
    <w:rsid w:val="00CF07E7"/>
    <w:rsid w:val="00CF65E1"/>
    <w:rsid w:val="00CF7725"/>
    <w:rsid w:val="00D00C4F"/>
    <w:rsid w:val="00D02C98"/>
    <w:rsid w:val="00D02F98"/>
    <w:rsid w:val="00D12CEC"/>
    <w:rsid w:val="00D146EC"/>
    <w:rsid w:val="00D16C8D"/>
    <w:rsid w:val="00D20509"/>
    <w:rsid w:val="00D238BC"/>
    <w:rsid w:val="00D24145"/>
    <w:rsid w:val="00D24F11"/>
    <w:rsid w:val="00D255F7"/>
    <w:rsid w:val="00D25F77"/>
    <w:rsid w:val="00D265D8"/>
    <w:rsid w:val="00D266CE"/>
    <w:rsid w:val="00D33599"/>
    <w:rsid w:val="00D40B68"/>
    <w:rsid w:val="00D4338D"/>
    <w:rsid w:val="00D44034"/>
    <w:rsid w:val="00D44E25"/>
    <w:rsid w:val="00D4527C"/>
    <w:rsid w:val="00D455BD"/>
    <w:rsid w:val="00D4570B"/>
    <w:rsid w:val="00D47774"/>
    <w:rsid w:val="00D52F20"/>
    <w:rsid w:val="00D536F7"/>
    <w:rsid w:val="00D64EA9"/>
    <w:rsid w:val="00D67522"/>
    <w:rsid w:val="00D70923"/>
    <w:rsid w:val="00D720EB"/>
    <w:rsid w:val="00D75F53"/>
    <w:rsid w:val="00D77A1D"/>
    <w:rsid w:val="00D807CB"/>
    <w:rsid w:val="00D84D4B"/>
    <w:rsid w:val="00D87527"/>
    <w:rsid w:val="00D9133B"/>
    <w:rsid w:val="00D9296B"/>
    <w:rsid w:val="00D93477"/>
    <w:rsid w:val="00D942E5"/>
    <w:rsid w:val="00D96A51"/>
    <w:rsid w:val="00DA2BD9"/>
    <w:rsid w:val="00DA5761"/>
    <w:rsid w:val="00DB3DDC"/>
    <w:rsid w:val="00DC1442"/>
    <w:rsid w:val="00DC35EF"/>
    <w:rsid w:val="00DC595D"/>
    <w:rsid w:val="00DC7BE6"/>
    <w:rsid w:val="00DD0F47"/>
    <w:rsid w:val="00DD46D1"/>
    <w:rsid w:val="00DD5037"/>
    <w:rsid w:val="00DE2D2F"/>
    <w:rsid w:val="00DE43EB"/>
    <w:rsid w:val="00DE5619"/>
    <w:rsid w:val="00DF4DB6"/>
    <w:rsid w:val="00E01BB2"/>
    <w:rsid w:val="00E02B95"/>
    <w:rsid w:val="00E03671"/>
    <w:rsid w:val="00E040A3"/>
    <w:rsid w:val="00E074AC"/>
    <w:rsid w:val="00E11AA8"/>
    <w:rsid w:val="00E1441F"/>
    <w:rsid w:val="00E164FA"/>
    <w:rsid w:val="00E22619"/>
    <w:rsid w:val="00E23684"/>
    <w:rsid w:val="00E2567C"/>
    <w:rsid w:val="00E265D7"/>
    <w:rsid w:val="00E2792B"/>
    <w:rsid w:val="00E30390"/>
    <w:rsid w:val="00E30C6A"/>
    <w:rsid w:val="00E371A6"/>
    <w:rsid w:val="00E37F50"/>
    <w:rsid w:val="00E41650"/>
    <w:rsid w:val="00E44323"/>
    <w:rsid w:val="00E444B4"/>
    <w:rsid w:val="00E44B25"/>
    <w:rsid w:val="00E508D8"/>
    <w:rsid w:val="00E514DA"/>
    <w:rsid w:val="00E54A6D"/>
    <w:rsid w:val="00E550CB"/>
    <w:rsid w:val="00E6038E"/>
    <w:rsid w:val="00E61788"/>
    <w:rsid w:val="00E61A30"/>
    <w:rsid w:val="00E61A6A"/>
    <w:rsid w:val="00E64143"/>
    <w:rsid w:val="00E64B73"/>
    <w:rsid w:val="00E72AA2"/>
    <w:rsid w:val="00E805D9"/>
    <w:rsid w:val="00E82BED"/>
    <w:rsid w:val="00E8579B"/>
    <w:rsid w:val="00E87DC9"/>
    <w:rsid w:val="00E915A6"/>
    <w:rsid w:val="00E91F56"/>
    <w:rsid w:val="00E93350"/>
    <w:rsid w:val="00E95338"/>
    <w:rsid w:val="00EA08F5"/>
    <w:rsid w:val="00EA235F"/>
    <w:rsid w:val="00EA4B2C"/>
    <w:rsid w:val="00EB2D09"/>
    <w:rsid w:val="00EB3313"/>
    <w:rsid w:val="00EB4130"/>
    <w:rsid w:val="00EB4132"/>
    <w:rsid w:val="00EB7483"/>
    <w:rsid w:val="00EC1C88"/>
    <w:rsid w:val="00EC5956"/>
    <w:rsid w:val="00ED214A"/>
    <w:rsid w:val="00ED36B9"/>
    <w:rsid w:val="00ED446C"/>
    <w:rsid w:val="00EE3E71"/>
    <w:rsid w:val="00EE6474"/>
    <w:rsid w:val="00EF48EE"/>
    <w:rsid w:val="00F022C5"/>
    <w:rsid w:val="00F07F1A"/>
    <w:rsid w:val="00F1363E"/>
    <w:rsid w:val="00F156DB"/>
    <w:rsid w:val="00F23E6C"/>
    <w:rsid w:val="00F24D0E"/>
    <w:rsid w:val="00F318D3"/>
    <w:rsid w:val="00F345D8"/>
    <w:rsid w:val="00F3573E"/>
    <w:rsid w:val="00F401DF"/>
    <w:rsid w:val="00F40267"/>
    <w:rsid w:val="00F426A0"/>
    <w:rsid w:val="00F44302"/>
    <w:rsid w:val="00F44CE9"/>
    <w:rsid w:val="00F50CE2"/>
    <w:rsid w:val="00F553ED"/>
    <w:rsid w:val="00F5735D"/>
    <w:rsid w:val="00F603C3"/>
    <w:rsid w:val="00F60D3A"/>
    <w:rsid w:val="00F61806"/>
    <w:rsid w:val="00F61A24"/>
    <w:rsid w:val="00F62952"/>
    <w:rsid w:val="00F650F2"/>
    <w:rsid w:val="00F67CF2"/>
    <w:rsid w:val="00F74FE0"/>
    <w:rsid w:val="00F75F7E"/>
    <w:rsid w:val="00F77EA6"/>
    <w:rsid w:val="00F80F87"/>
    <w:rsid w:val="00F816E3"/>
    <w:rsid w:val="00F8187B"/>
    <w:rsid w:val="00F854EC"/>
    <w:rsid w:val="00F86071"/>
    <w:rsid w:val="00F87AB1"/>
    <w:rsid w:val="00F91A05"/>
    <w:rsid w:val="00F9321C"/>
    <w:rsid w:val="00F97F7F"/>
    <w:rsid w:val="00FA1946"/>
    <w:rsid w:val="00FA1ED2"/>
    <w:rsid w:val="00FA4106"/>
    <w:rsid w:val="00FA666C"/>
    <w:rsid w:val="00FB16FE"/>
    <w:rsid w:val="00FC68D9"/>
    <w:rsid w:val="00FD1630"/>
    <w:rsid w:val="00FD3D38"/>
    <w:rsid w:val="00FD4BE6"/>
    <w:rsid w:val="00FD5CDC"/>
    <w:rsid w:val="00FD5F9C"/>
    <w:rsid w:val="00FE044E"/>
    <w:rsid w:val="00FE18BF"/>
    <w:rsid w:val="00FF0340"/>
    <w:rsid w:val="00FF0C7E"/>
    <w:rsid w:val="00FF1134"/>
    <w:rsid w:val="00FF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FF621"/>
  <w15:chartTrackingRefBased/>
  <w15:docId w15:val="{FF7910C5-77D1-46F6-BFB6-CCBAE0BE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C43"/>
  </w:style>
  <w:style w:type="paragraph" w:styleId="Heading1">
    <w:name w:val="heading 1"/>
    <w:basedOn w:val="Normal"/>
    <w:next w:val="Normal"/>
    <w:link w:val="Heading1Char"/>
    <w:uiPriority w:val="9"/>
    <w:qFormat/>
    <w:rsid w:val="007C6C43"/>
    <w:pPr>
      <w:keepNext/>
      <w:keepLines/>
      <w:spacing w:before="320" w:after="80" w:line="240" w:lineRule="auto"/>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6C4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7C6C4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7C6C4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7C6C4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7C6C4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7C6C4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7C6C4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7C6C4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C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6C4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7C6C4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7C6C4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7C6C4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7C6C4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7C6C4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7C6C4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7C6C43"/>
    <w:rPr>
      <w:b/>
      <w:bCs/>
      <w:i/>
      <w:iCs/>
    </w:rPr>
  </w:style>
  <w:style w:type="paragraph" w:styleId="Title">
    <w:name w:val="Title"/>
    <w:basedOn w:val="Normal"/>
    <w:next w:val="Normal"/>
    <w:link w:val="TitleChar"/>
    <w:uiPriority w:val="10"/>
    <w:qFormat/>
    <w:rsid w:val="007C6C43"/>
    <w:pPr>
      <w:pBdr>
        <w:top w:val="single" w:sz="6" w:space="8" w:color="196B24" w:themeColor="accent3"/>
        <w:bottom w:val="single" w:sz="6" w:space="8" w:color="196B24" w:themeColor="accent3"/>
      </w:pBdr>
      <w:spacing w:after="400" w:line="240" w:lineRule="auto"/>
      <w:contextualSpacing/>
      <w:jc w:val="center"/>
    </w:pPr>
    <w:rPr>
      <w:rFonts w:asciiTheme="majorHAnsi" w:eastAsiaTheme="majorEastAsia" w:hAnsiTheme="majorHAnsi" w:cstheme="majorBidi"/>
      <w:caps/>
      <w:color w:val="0E2841" w:themeColor="text2"/>
      <w:spacing w:val="30"/>
      <w:sz w:val="72"/>
      <w:szCs w:val="72"/>
    </w:rPr>
  </w:style>
  <w:style w:type="character" w:customStyle="1" w:styleId="TitleChar">
    <w:name w:val="Title Char"/>
    <w:basedOn w:val="DefaultParagraphFont"/>
    <w:link w:val="Title"/>
    <w:uiPriority w:val="10"/>
    <w:rsid w:val="007C6C43"/>
    <w:rPr>
      <w:rFonts w:asciiTheme="majorHAnsi" w:eastAsiaTheme="majorEastAsia" w:hAnsiTheme="majorHAnsi" w:cstheme="majorBidi"/>
      <w:caps/>
      <w:color w:val="0E2841" w:themeColor="text2"/>
      <w:spacing w:val="30"/>
      <w:sz w:val="72"/>
      <w:szCs w:val="72"/>
    </w:rPr>
  </w:style>
  <w:style w:type="paragraph" w:styleId="Subtitle">
    <w:name w:val="Subtitle"/>
    <w:basedOn w:val="Normal"/>
    <w:next w:val="Normal"/>
    <w:link w:val="SubtitleChar"/>
    <w:uiPriority w:val="11"/>
    <w:qFormat/>
    <w:rsid w:val="007C6C43"/>
    <w:pPr>
      <w:numPr>
        <w:ilvl w:val="1"/>
      </w:numPr>
      <w:jc w:val="center"/>
    </w:pPr>
    <w:rPr>
      <w:color w:val="0E2841" w:themeColor="text2"/>
      <w:sz w:val="28"/>
      <w:szCs w:val="28"/>
    </w:rPr>
  </w:style>
  <w:style w:type="character" w:customStyle="1" w:styleId="SubtitleChar">
    <w:name w:val="Subtitle Char"/>
    <w:basedOn w:val="DefaultParagraphFont"/>
    <w:link w:val="Subtitle"/>
    <w:uiPriority w:val="11"/>
    <w:rsid w:val="007C6C43"/>
    <w:rPr>
      <w:color w:val="0E2841" w:themeColor="text2"/>
      <w:sz w:val="28"/>
      <w:szCs w:val="28"/>
    </w:rPr>
  </w:style>
  <w:style w:type="paragraph" w:styleId="Quote">
    <w:name w:val="Quote"/>
    <w:basedOn w:val="Normal"/>
    <w:next w:val="Normal"/>
    <w:link w:val="QuoteChar"/>
    <w:uiPriority w:val="29"/>
    <w:qFormat/>
    <w:rsid w:val="007C6C43"/>
    <w:pPr>
      <w:spacing w:before="160"/>
      <w:ind w:left="720" w:right="720"/>
      <w:jc w:val="center"/>
    </w:pPr>
    <w:rPr>
      <w:i/>
      <w:iCs/>
      <w:color w:val="124F1A" w:themeColor="accent3" w:themeShade="BF"/>
      <w:sz w:val="24"/>
      <w:szCs w:val="24"/>
    </w:rPr>
  </w:style>
  <w:style w:type="character" w:customStyle="1" w:styleId="QuoteChar">
    <w:name w:val="Quote Char"/>
    <w:basedOn w:val="DefaultParagraphFont"/>
    <w:link w:val="Quote"/>
    <w:uiPriority w:val="29"/>
    <w:rsid w:val="007C6C43"/>
    <w:rPr>
      <w:i/>
      <w:iCs/>
      <w:color w:val="124F1A" w:themeColor="accent3" w:themeShade="BF"/>
      <w:sz w:val="24"/>
      <w:szCs w:val="24"/>
    </w:rPr>
  </w:style>
  <w:style w:type="paragraph" w:styleId="ListParagraph">
    <w:name w:val="List Paragraph"/>
    <w:basedOn w:val="Normal"/>
    <w:uiPriority w:val="34"/>
    <w:qFormat/>
    <w:rsid w:val="000562F6"/>
    <w:pPr>
      <w:ind w:left="720"/>
      <w:contextualSpacing/>
    </w:pPr>
  </w:style>
  <w:style w:type="character" w:styleId="IntenseEmphasis">
    <w:name w:val="Intense Emphasis"/>
    <w:basedOn w:val="DefaultParagraphFont"/>
    <w:uiPriority w:val="21"/>
    <w:qFormat/>
    <w:rsid w:val="007C6C43"/>
    <w:rPr>
      <w:b/>
      <w:bCs/>
      <w:i/>
      <w:iCs/>
      <w:color w:val="auto"/>
    </w:rPr>
  </w:style>
  <w:style w:type="paragraph" w:styleId="IntenseQuote">
    <w:name w:val="Intense Quote"/>
    <w:basedOn w:val="Normal"/>
    <w:next w:val="Normal"/>
    <w:link w:val="IntenseQuoteChar"/>
    <w:uiPriority w:val="30"/>
    <w:qFormat/>
    <w:rsid w:val="007C6C43"/>
    <w:pPr>
      <w:spacing w:before="160" w:line="276" w:lineRule="auto"/>
      <w:ind w:left="936" w:right="936"/>
      <w:jc w:val="center"/>
    </w:pPr>
    <w:rPr>
      <w:rFonts w:asciiTheme="majorHAnsi" w:eastAsiaTheme="majorEastAsia" w:hAnsiTheme="majorHAnsi" w:cstheme="majorBidi"/>
      <w:caps/>
      <w:color w:val="0F4761" w:themeColor="accent1" w:themeShade="BF"/>
      <w:sz w:val="28"/>
      <w:szCs w:val="28"/>
    </w:rPr>
  </w:style>
  <w:style w:type="character" w:customStyle="1" w:styleId="IntenseQuoteChar">
    <w:name w:val="Intense Quote Char"/>
    <w:basedOn w:val="DefaultParagraphFont"/>
    <w:link w:val="IntenseQuote"/>
    <w:uiPriority w:val="30"/>
    <w:rsid w:val="007C6C43"/>
    <w:rPr>
      <w:rFonts w:asciiTheme="majorHAnsi" w:eastAsiaTheme="majorEastAsia" w:hAnsiTheme="majorHAnsi" w:cstheme="majorBidi"/>
      <w:caps/>
      <w:color w:val="0F4761" w:themeColor="accent1" w:themeShade="BF"/>
      <w:sz w:val="28"/>
      <w:szCs w:val="28"/>
    </w:rPr>
  </w:style>
  <w:style w:type="character" w:styleId="IntenseReference">
    <w:name w:val="Intense Reference"/>
    <w:basedOn w:val="DefaultParagraphFont"/>
    <w:uiPriority w:val="32"/>
    <w:qFormat/>
    <w:rsid w:val="007C6C43"/>
    <w:rPr>
      <w:b/>
      <w:bCs/>
      <w:caps w:val="0"/>
      <w:smallCaps/>
      <w:color w:val="auto"/>
      <w:spacing w:val="0"/>
      <w:u w:val="single"/>
    </w:rPr>
  </w:style>
  <w:style w:type="paragraph" w:styleId="NormalWeb">
    <w:name w:val="Normal (Web)"/>
    <w:basedOn w:val="Normal"/>
    <w:uiPriority w:val="99"/>
    <w:unhideWhenUsed/>
    <w:rsid w:val="000562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62F6"/>
    <w:rPr>
      <w:color w:val="0000FF"/>
      <w:u w:val="single"/>
    </w:rPr>
  </w:style>
  <w:style w:type="character" w:customStyle="1" w:styleId="line-clamp-1">
    <w:name w:val="line-clamp-1"/>
    <w:basedOn w:val="DefaultParagraphFont"/>
    <w:rsid w:val="00FA1ED2"/>
  </w:style>
  <w:style w:type="paragraph" w:styleId="NoSpacing">
    <w:name w:val="No Spacing"/>
    <w:uiPriority w:val="1"/>
    <w:qFormat/>
    <w:rsid w:val="007C6C43"/>
    <w:pPr>
      <w:spacing w:after="0" w:line="240" w:lineRule="auto"/>
    </w:pPr>
  </w:style>
  <w:style w:type="paragraph" w:styleId="Caption">
    <w:name w:val="caption"/>
    <w:basedOn w:val="Normal"/>
    <w:next w:val="Normal"/>
    <w:uiPriority w:val="35"/>
    <w:semiHidden/>
    <w:unhideWhenUsed/>
    <w:qFormat/>
    <w:rsid w:val="007C6C43"/>
    <w:pPr>
      <w:spacing w:line="240" w:lineRule="auto"/>
    </w:pPr>
    <w:rPr>
      <w:b/>
      <w:bCs/>
      <w:color w:val="404040" w:themeColor="text1" w:themeTint="BF"/>
      <w:sz w:val="16"/>
      <w:szCs w:val="16"/>
    </w:rPr>
  </w:style>
  <w:style w:type="character" w:styleId="Strong">
    <w:name w:val="Strong"/>
    <w:basedOn w:val="DefaultParagraphFont"/>
    <w:uiPriority w:val="22"/>
    <w:qFormat/>
    <w:rsid w:val="007C6C43"/>
    <w:rPr>
      <w:b/>
      <w:bCs/>
    </w:rPr>
  </w:style>
  <w:style w:type="character" w:styleId="Emphasis">
    <w:name w:val="Emphasis"/>
    <w:basedOn w:val="DefaultParagraphFont"/>
    <w:uiPriority w:val="20"/>
    <w:qFormat/>
    <w:rsid w:val="007C6C43"/>
    <w:rPr>
      <w:i/>
      <w:iCs/>
      <w:color w:val="000000" w:themeColor="text1"/>
    </w:rPr>
  </w:style>
  <w:style w:type="character" w:styleId="SubtleEmphasis">
    <w:name w:val="Subtle Emphasis"/>
    <w:basedOn w:val="DefaultParagraphFont"/>
    <w:uiPriority w:val="19"/>
    <w:qFormat/>
    <w:rsid w:val="007C6C43"/>
    <w:rPr>
      <w:i/>
      <w:iCs/>
      <w:color w:val="595959" w:themeColor="text1" w:themeTint="A6"/>
    </w:rPr>
  </w:style>
  <w:style w:type="character" w:styleId="SubtleReference">
    <w:name w:val="Subtle Reference"/>
    <w:basedOn w:val="DefaultParagraphFont"/>
    <w:uiPriority w:val="31"/>
    <w:qFormat/>
    <w:rsid w:val="007C6C43"/>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7C6C43"/>
    <w:rPr>
      <w:b/>
      <w:bCs/>
      <w:caps w:val="0"/>
      <w:smallCaps/>
      <w:spacing w:val="0"/>
    </w:rPr>
  </w:style>
  <w:style w:type="paragraph" w:styleId="TOCHeading">
    <w:name w:val="TOC Heading"/>
    <w:basedOn w:val="Heading1"/>
    <w:next w:val="Normal"/>
    <w:uiPriority w:val="39"/>
    <w:semiHidden/>
    <w:unhideWhenUsed/>
    <w:qFormat/>
    <w:rsid w:val="007C6C43"/>
    <w:pPr>
      <w:outlineLvl w:val="9"/>
    </w:pPr>
  </w:style>
  <w:style w:type="character" w:styleId="UnresolvedMention">
    <w:name w:val="Unresolved Mention"/>
    <w:basedOn w:val="DefaultParagraphFont"/>
    <w:uiPriority w:val="99"/>
    <w:semiHidden/>
    <w:unhideWhenUsed/>
    <w:rsid w:val="0088133C"/>
    <w:rPr>
      <w:color w:val="605E5C"/>
      <w:shd w:val="clear" w:color="auto" w:fill="E1DFDD"/>
    </w:rPr>
  </w:style>
  <w:style w:type="character" w:styleId="FollowedHyperlink">
    <w:name w:val="FollowedHyperlink"/>
    <w:basedOn w:val="DefaultParagraphFont"/>
    <w:uiPriority w:val="99"/>
    <w:semiHidden/>
    <w:unhideWhenUsed/>
    <w:rsid w:val="00787FA9"/>
    <w:rPr>
      <w:color w:val="96607D" w:themeColor="followedHyperlink"/>
      <w:u w:val="single"/>
    </w:rPr>
  </w:style>
  <w:style w:type="paragraph" w:styleId="Header">
    <w:name w:val="header"/>
    <w:basedOn w:val="Normal"/>
    <w:link w:val="HeaderChar"/>
    <w:uiPriority w:val="99"/>
    <w:unhideWhenUsed/>
    <w:rsid w:val="00787F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FA9"/>
  </w:style>
  <w:style w:type="paragraph" w:styleId="Footer">
    <w:name w:val="footer"/>
    <w:basedOn w:val="Normal"/>
    <w:link w:val="FooterChar"/>
    <w:uiPriority w:val="99"/>
    <w:unhideWhenUsed/>
    <w:rsid w:val="00787F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6727">
      <w:bodyDiv w:val="1"/>
      <w:marLeft w:val="0"/>
      <w:marRight w:val="0"/>
      <w:marTop w:val="0"/>
      <w:marBottom w:val="0"/>
      <w:divBdr>
        <w:top w:val="none" w:sz="0" w:space="0" w:color="auto"/>
        <w:left w:val="none" w:sz="0" w:space="0" w:color="auto"/>
        <w:bottom w:val="none" w:sz="0" w:space="0" w:color="auto"/>
        <w:right w:val="none" w:sz="0" w:space="0" w:color="auto"/>
      </w:divBdr>
    </w:div>
    <w:div w:id="110249172">
      <w:bodyDiv w:val="1"/>
      <w:marLeft w:val="0"/>
      <w:marRight w:val="0"/>
      <w:marTop w:val="0"/>
      <w:marBottom w:val="0"/>
      <w:divBdr>
        <w:top w:val="none" w:sz="0" w:space="0" w:color="auto"/>
        <w:left w:val="none" w:sz="0" w:space="0" w:color="auto"/>
        <w:bottom w:val="none" w:sz="0" w:space="0" w:color="auto"/>
        <w:right w:val="none" w:sz="0" w:space="0" w:color="auto"/>
      </w:divBdr>
    </w:div>
    <w:div w:id="209343734">
      <w:bodyDiv w:val="1"/>
      <w:marLeft w:val="0"/>
      <w:marRight w:val="0"/>
      <w:marTop w:val="0"/>
      <w:marBottom w:val="0"/>
      <w:divBdr>
        <w:top w:val="none" w:sz="0" w:space="0" w:color="auto"/>
        <w:left w:val="none" w:sz="0" w:space="0" w:color="auto"/>
        <w:bottom w:val="none" w:sz="0" w:space="0" w:color="auto"/>
        <w:right w:val="none" w:sz="0" w:space="0" w:color="auto"/>
      </w:divBdr>
    </w:div>
    <w:div w:id="226959133">
      <w:bodyDiv w:val="1"/>
      <w:marLeft w:val="0"/>
      <w:marRight w:val="0"/>
      <w:marTop w:val="0"/>
      <w:marBottom w:val="0"/>
      <w:divBdr>
        <w:top w:val="none" w:sz="0" w:space="0" w:color="auto"/>
        <w:left w:val="none" w:sz="0" w:space="0" w:color="auto"/>
        <w:bottom w:val="none" w:sz="0" w:space="0" w:color="auto"/>
        <w:right w:val="none" w:sz="0" w:space="0" w:color="auto"/>
      </w:divBdr>
    </w:div>
    <w:div w:id="241262679">
      <w:bodyDiv w:val="1"/>
      <w:marLeft w:val="0"/>
      <w:marRight w:val="0"/>
      <w:marTop w:val="0"/>
      <w:marBottom w:val="0"/>
      <w:divBdr>
        <w:top w:val="none" w:sz="0" w:space="0" w:color="auto"/>
        <w:left w:val="none" w:sz="0" w:space="0" w:color="auto"/>
        <w:bottom w:val="none" w:sz="0" w:space="0" w:color="auto"/>
        <w:right w:val="none" w:sz="0" w:space="0" w:color="auto"/>
      </w:divBdr>
    </w:div>
    <w:div w:id="296229885">
      <w:bodyDiv w:val="1"/>
      <w:marLeft w:val="0"/>
      <w:marRight w:val="0"/>
      <w:marTop w:val="0"/>
      <w:marBottom w:val="0"/>
      <w:divBdr>
        <w:top w:val="none" w:sz="0" w:space="0" w:color="auto"/>
        <w:left w:val="none" w:sz="0" w:space="0" w:color="auto"/>
        <w:bottom w:val="none" w:sz="0" w:space="0" w:color="auto"/>
        <w:right w:val="none" w:sz="0" w:space="0" w:color="auto"/>
      </w:divBdr>
    </w:div>
    <w:div w:id="304161532">
      <w:bodyDiv w:val="1"/>
      <w:marLeft w:val="0"/>
      <w:marRight w:val="0"/>
      <w:marTop w:val="0"/>
      <w:marBottom w:val="0"/>
      <w:divBdr>
        <w:top w:val="none" w:sz="0" w:space="0" w:color="auto"/>
        <w:left w:val="none" w:sz="0" w:space="0" w:color="auto"/>
        <w:bottom w:val="none" w:sz="0" w:space="0" w:color="auto"/>
        <w:right w:val="none" w:sz="0" w:space="0" w:color="auto"/>
      </w:divBdr>
    </w:div>
    <w:div w:id="402602926">
      <w:bodyDiv w:val="1"/>
      <w:marLeft w:val="0"/>
      <w:marRight w:val="0"/>
      <w:marTop w:val="0"/>
      <w:marBottom w:val="0"/>
      <w:divBdr>
        <w:top w:val="none" w:sz="0" w:space="0" w:color="auto"/>
        <w:left w:val="none" w:sz="0" w:space="0" w:color="auto"/>
        <w:bottom w:val="none" w:sz="0" w:space="0" w:color="auto"/>
        <w:right w:val="none" w:sz="0" w:space="0" w:color="auto"/>
      </w:divBdr>
      <w:divsChild>
        <w:div w:id="2135715279">
          <w:marLeft w:val="0"/>
          <w:marRight w:val="0"/>
          <w:marTop w:val="0"/>
          <w:marBottom w:val="0"/>
          <w:divBdr>
            <w:top w:val="none" w:sz="0" w:space="0" w:color="auto"/>
            <w:left w:val="none" w:sz="0" w:space="0" w:color="auto"/>
            <w:bottom w:val="none" w:sz="0" w:space="0" w:color="auto"/>
            <w:right w:val="none" w:sz="0" w:space="0" w:color="auto"/>
          </w:divBdr>
          <w:divsChild>
            <w:div w:id="861482227">
              <w:marLeft w:val="0"/>
              <w:marRight w:val="0"/>
              <w:marTop w:val="0"/>
              <w:marBottom w:val="0"/>
              <w:divBdr>
                <w:top w:val="none" w:sz="0" w:space="0" w:color="auto"/>
                <w:left w:val="none" w:sz="0" w:space="0" w:color="auto"/>
                <w:bottom w:val="none" w:sz="0" w:space="0" w:color="auto"/>
                <w:right w:val="none" w:sz="0" w:space="0" w:color="auto"/>
              </w:divBdr>
              <w:divsChild>
                <w:div w:id="1618683014">
                  <w:marLeft w:val="0"/>
                  <w:marRight w:val="0"/>
                  <w:marTop w:val="0"/>
                  <w:marBottom w:val="0"/>
                  <w:divBdr>
                    <w:top w:val="none" w:sz="0" w:space="0" w:color="auto"/>
                    <w:left w:val="none" w:sz="0" w:space="0" w:color="auto"/>
                    <w:bottom w:val="none" w:sz="0" w:space="0" w:color="auto"/>
                    <w:right w:val="none" w:sz="0" w:space="0" w:color="auto"/>
                  </w:divBdr>
                  <w:divsChild>
                    <w:div w:id="14294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93068">
          <w:marLeft w:val="0"/>
          <w:marRight w:val="0"/>
          <w:marTop w:val="0"/>
          <w:marBottom w:val="0"/>
          <w:divBdr>
            <w:top w:val="none" w:sz="0" w:space="0" w:color="auto"/>
            <w:left w:val="none" w:sz="0" w:space="0" w:color="auto"/>
            <w:bottom w:val="none" w:sz="0" w:space="0" w:color="auto"/>
            <w:right w:val="none" w:sz="0" w:space="0" w:color="auto"/>
          </w:divBdr>
          <w:divsChild>
            <w:div w:id="806628267">
              <w:marLeft w:val="0"/>
              <w:marRight w:val="0"/>
              <w:marTop w:val="0"/>
              <w:marBottom w:val="0"/>
              <w:divBdr>
                <w:top w:val="none" w:sz="0" w:space="0" w:color="auto"/>
                <w:left w:val="none" w:sz="0" w:space="0" w:color="auto"/>
                <w:bottom w:val="none" w:sz="0" w:space="0" w:color="auto"/>
                <w:right w:val="none" w:sz="0" w:space="0" w:color="auto"/>
              </w:divBdr>
              <w:divsChild>
                <w:div w:id="1550729862">
                  <w:marLeft w:val="0"/>
                  <w:marRight w:val="0"/>
                  <w:marTop w:val="0"/>
                  <w:marBottom w:val="0"/>
                  <w:divBdr>
                    <w:top w:val="none" w:sz="0" w:space="0" w:color="auto"/>
                    <w:left w:val="none" w:sz="0" w:space="0" w:color="auto"/>
                    <w:bottom w:val="none" w:sz="0" w:space="0" w:color="auto"/>
                    <w:right w:val="none" w:sz="0" w:space="0" w:color="auto"/>
                  </w:divBdr>
                  <w:divsChild>
                    <w:div w:id="11724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07152">
      <w:bodyDiv w:val="1"/>
      <w:marLeft w:val="0"/>
      <w:marRight w:val="0"/>
      <w:marTop w:val="0"/>
      <w:marBottom w:val="0"/>
      <w:divBdr>
        <w:top w:val="none" w:sz="0" w:space="0" w:color="auto"/>
        <w:left w:val="none" w:sz="0" w:space="0" w:color="auto"/>
        <w:bottom w:val="none" w:sz="0" w:space="0" w:color="auto"/>
        <w:right w:val="none" w:sz="0" w:space="0" w:color="auto"/>
      </w:divBdr>
    </w:div>
    <w:div w:id="484515830">
      <w:bodyDiv w:val="1"/>
      <w:marLeft w:val="0"/>
      <w:marRight w:val="0"/>
      <w:marTop w:val="0"/>
      <w:marBottom w:val="0"/>
      <w:divBdr>
        <w:top w:val="none" w:sz="0" w:space="0" w:color="auto"/>
        <w:left w:val="none" w:sz="0" w:space="0" w:color="auto"/>
        <w:bottom w:val="none" w:sz="0" w:space="0" w:color="auto"/>
        <w:right w:val="none" w:sz="0" w:space="0" w:color="auto"/>
      </w:divBdr>
    </w:div>
    <w:div w:id="567225697">
      <w:bodyDiv w:val="1"/>
      <w:marLeft w:val="0"/>
      <w:marRight w:val="0"/>
      <w:marTop w:val="0"/>
      <w:marBottom w:val="0"/>
      <w:divBdr>
        <w:top w:val="none" w:sz="0" w:space="0" w:color="auto"/>
        <w:left w:val="none" w:sz="0" w:space="0" w:color="auto"/>
        <w:bottom w:val="none" w:sz="0" w:space="0" w:color="auto"/>
        <w:right w:val="none" w:sz="0" w:space="0" w:color="auto"/>
      </w:divBdr>
    </w:div>
    <w:div w:id="573706458">
      <w:bodyDiv w:val="1"/>
      <w:marLeft w:val="0"/>
      <w:marRight w:val="0"/>
      <w:marTop w:val="0"/>
      <w:marBottom w:val="0"/>
      <w:divBdr>
        <w:top w:val="none" w:sz="0" w:space="0" w:color="auto"/>
        <w:left w:val="none" w:sz="0" w:space="0" w:color="auto"/>
        <w:bottom w:val="none" w:sz="0" w:space="0" w:color="auto"/>
        <w:right w:val="none" w:sz="0" w:space="0" w:color="auto"/>
      </w:divBdr>
    </w:div>
    <w:div w:id="594555203">
      <w:bodyDiv w:val="1"/>
      <w:marLeft w:val="0"/>
      <w:marRight w:val="0"/>
      <w:marTop w:val="0"/>
      <w:marBottom w:val="0"/>
      <w:divBdr>
        <w:top w:val="none" w:sz="0" w:space="0" w:color="auto"/>
        <w:left w:val="none" w:sz="0" w:space="0" w:color="auto"/>
        <w:bottom w:val="none" w:sz="0" w:space="0" w:color="auto"/>
        <w:right w:val="none" w:sz="0" w:space="0" w:color="auto"/>
      </w:divBdr>
    </w:div>
    <w:div w:id="627513527">
      <w:bodyDiv w:val="1"/>
      <w:marLeft w:val="0"/>
      <w:marRight w:val="0"/>
      <w:marTop w:val="0"/>
      <w:marBottom w:val="0"/>
      <w:divBdr>
        <w:top w:val="none" w:sz="0" w:space="0" w:color="auto"/>
        <w:left w:val="none" w:sz="0" w:space="0" w:color="auto"/>
        <w:bottom w:val="none" w:sz="0" w:space="0" w:color="auto"/>
        <w:right w:val="none" w:sz="0" w:space="0" w:color="auto"/>
      </w:divBdr>
    </w:div>
    <w:div w:id="945422995">
      <w:bodyDiv w:val="1"/>
      <w:marLeft w:val="0"/>
      <w:marRight w:val="0"/>
      <w:marTop w:val="0"/>
      <w:marBottom w:val="0"/>
      <w:divBdr>
        <w:top w:val="none" w:sz="0" w:space="0" w:color="auto"/>
        <w:left w:val="none" w:sz="0" w:space="0" w:color="auto"/>
        <w:bottom w:val="none" w:sz="0" w:space="0" w:color="auto"/>
        <w:right w:val="none" w:sz="0" w:space="0" w:color="auto"/>
      </w:divBdr>
    </w:div>
    <w:div w:id="1004935510">
      <w:bodyDiv w:val="1"/>
      <w:marLeft w:val="0"/>
      <w:marRight w:val="0"/>
      <w:marTop w:val="0"/>
      <w:marBottom w:val="0"/>
      <w:divBdr>
        <w:top w:val="none" w:sz="0" w:space="0" w:color="auto"/>
        <w:left w:val="none" w:sz="0" w:space="0" w:color="auto"/>
        <w:bottom w:val="none" w:sz="0" w:space="0" w:color="auto"/>
        <w:right w:val="none" w:sz="0" w:space="0" w:color="auto"/>
      </w:divBdr>
    </w:div>
    <w:div w:id="1198471102">
      <w:bodyDiv w:val="1"/>
      <w:marLeft w:val="0"/>
      <w:marRight w:val="0"/>
      <w:marTop w:val="0"/>
      <w:marBottom w:val="0"/>
      <w:divBdr>
        <w:top w:val="none" w:sz="0" w:space="0" w:color="auto"/>
        <w:left w:val="none" w:sz="0" w:space="0" w:color="auto"/>
        <w:bottom w:val="none" w:sz="0" w:space="0" w:color="auto"/>
        <w:right w:val="none" w:sz="0" w:space="0" w:color="auto"/>
      </w:divBdr>
    </w:div>
    <w:div w:id="1205017413">
      <w:bodyDiv w:val="1"/>
      <w:marLeft w:val="0"/>
      <w:marRight w:val="0"/>
      <w:marTop w:val="0"/>
      <w:marBottom w:val="0"/>
      <w:divBdr>
        <w:top w:val="none" w:sz="0" w:space="0" w:color="auto"/>
        <w:left w:val="none" w:sz="0" w:space="0" w:color="auto"/>
        <w:bottom w:val="none" w:sz="0" w:space="0" w:color="auto"/>
        <w:right w:val="none" w:sz="0" w:space="0" w:color="auto"/>
      </w:divBdr>
    </w:div>
    <w:div w:id="1244411056">
      <w:bodyDiv w:val="1"/>
      <w:marLeft w:val="0"/>
      <w:marRight w:val="0"/>
      <w:marTop w:val="0"/>
      <w:marBottom w:val="0"/>
      <w:divBdr>
        <w:top w:val="none" w:sz="0" w:space="0" w:color="auto"/>
        <w:left w:val="none" w:sz="0" w:space="0" w:color="auto"/>
        <w:bottom w:val="none" w:sz="0" w:space="0" w:color="auto"/>
        <w:right w:val="none" w:sz="0" w:space="0" w:color="auto"/>
      </w:divBdr>
    </w:div>
    <w:div w:id="1279531467">
      <w:bodyDiv w:val="1"/>
      <w:marLeft w:val="0"/>
      <w:marRight w:val="0"/>
      <w:marTop w:val="0"/>
      <w:marBottom w:val="0"/>
      <w:divBdr>
        <w:top w:val="none" w:sz="0" w:space="0" w:color="auto"/>
        <w:left w:val="none" w:sz="0" w:space="0" w:color="auto"/>
        <w:bottom w:val="none" w:sz="0" w:space="0" w:color="auto"/>
        <w:right w:val="none" w:sz="0" w:space="0" w:color="auto"/>
      </w:divBdr>
    </w:div>
    <w:div w:id="1312562060">
      <w:bodyDiv w:val="1"/>
      <w:marLeft w:val="0"/>
      <w:marRight w:val="0"/>
      <w:marTop w:val="0"/>
      <w:marBottom w:val="0"/>
      <w:divBdr>
        <w:top w:val="none" w:sz="0" w:space="0" w:color="auto"/>
        <w:left w:val="none" w:sz="0" w:space="0" w:color="auto"/>
        <w:bottom w:val="none" w:sz="0" w:space="0" w:color="auto"/>
        <w:right w:val="none" w:sz="0" w:space="0" w:color="auto"/>
      </w:divBdr>
    </w:div>
    <w:div w:id="1357388426">
      <w:bodyDiv w:val="1"/>
      <w:marLeft w:val="0"/>
      <w:marRight w:val="0"/>
      <w:marTop w:val="0"/>
      <w:marBottom w:val="0"/>
      <w:divBdr>
        <w:top w:val="none" w:sz="0" w:space="0" w:color="auto"/>
        <w:left w:val="none" w:sz="0" w:space="0" w:color="auto"/>
        <w:bottom w:val="none" w:sz="0" w:space="0" w:color="auto"/>
        <w:right w:val="none" w:sz="0" w:space="0" w:color="auto"/>
      </w:divBdr>
    </w:div>
    <w:div w:id="1389451308">
      <w:bodyDiv w:val="1"/>
      <w:marLeft w:val="0"/>
      <w:marRight w:val="0"/>
      <w:marTop w:val="0"/>
      <w:marBottom w:val="0"/>
      <w:divBdr>
        <w:top w:val="none" w:sz="0" w:space="0" w:color="auto"/>
        <w:left w:val="none" w:sz="0" w:space="0" w:color="auto"/>
        <w:bottom w:val="none" w:sz="0" w:space="0" w:color="auto"/>
        <w:right w:val="none" w:sz="0" w:space="0" w:color="auto"/>
      </w:divBdr>
    </w:div>
    <w:div w:id="1414664325">
      <w:bodyDiv w:val="1"/>
      <w:marLeft w:val="0"/>
      <w:marRight w:val="0"/>
      <w:marTop w:val="0"/>
      <w:marBottom w:val="0"/>
      <w:divBdr>
        <w:top w:val="none" w:sz="0" w:space="0" w:color="auto"/>
        <w:left w:val="none" w:sz="0" w:space="0" w:color="auto"/>
        <w:bottom w:val="none" w:sz="0" w:space="0" w:color="auto"/>
        <w:right w:val="none" w:sz="0" w:space="0" w:color="auto"/>
      </w:divBdr>
    </w:div>
    <w:div w:id="1425227080">
      <w:bodyDiv w:val="1"/>
      <w:marLeft w:val="0"/>
      <w:marRight w:val="0"/>
      <w:marTop w:val="0"/>
      <w:marBottom w:val="0"/>
      <w:divBdr>
        <w:top w:val="none" w:sz="0" w:space="0" w:color="auto"/>
        <w:left w:val="none" w:sz="0" w:space="0" w:color="auto"/>
        <w:bottom w:val="none" w:sz="0" w:space="0" w:color="auto"/>
        <w:right w:val="none" w:sz="0" w:space="0" w:color="auto"/>
      </w:divBdr>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
    <w:div w:id="1505390670">
      <w:bodyDiv w:val="1"/>
      <w:marLeft w:val="0"/>
      <w:marRight w:val="0"/>
      <w:marTop w:val="0"/>
      <w:marBottom w:val="0"/>
      <w:divBdr>
        <w:top w:val="none" w:sz="0" w:space="0" w:color="auto"/>
        <w:left w:val="none" w:sz="0" w:space="0" w:color="auto"/>
        <w:bottom w:val="none" w:sz="0" w:space="0" w:color="auto"/>
        <w:right w:val="none" w:sz="0" w:space="0" w:color="auto"/>
      </w:divBdr>
    </w:div>
    <w:div w:id="1684938829">
      <w:bodyDiv w:val="1"/>
      <w:marLeft w:val="0"/>
      <w:marRight w:val="0"/>
      <w:marTop w:val="0"/>
      <w:marBottom w:val="0"/>
      <w:divBdr>
        <w:top w:val="none" w:sz="0" w:space="0" w:color="auto"/>
        <w:left w:val="none" w:sz="0" w:space="0" w:color="auto"/>
        <w:bottom w:val="none" w:sz="0" w:space="0" w:color="auto"/>
        <w:right w:val="none" w:sz="0" w:space="0" w:color="auto"/>
      </w:divBdr>
    </w:div>
    <w:div w:id="1766726386">
      <w:bodyDiv w:val="1"/>
      <w:marLeft w:val="0"/>
      <w:marRight w:val="0"/>
      <w:marTop w:val="0"/>
      <w:marBottom w:val="0"/>
      <w:divBdr>
        <w:top w:val="none" w:sz="0" w:space="0" w:color="auto"/>
        <w:left w:val="none" w:sz="0" w:space="0" w:color="auto"/>
        <w:bottom w:val="none" w:sz="0" w:space="0" w:color="auto"/>
        <w:right w:val="none" w:sz="0" w:space="0" w:color="auto"/>
      </w:divBdr>
    </w:div>
    <w:div w:id="1916931832">
      <w:bodyDiv w:val="1"/>
      <w:marLeft w:val="0"/>
      <w:marRight w:val="0"/>
      <w:marTop w:val="0"/>
      <w:marBottom w:val="0"/>
      <w:divBdr>
        <w:top w:val="none" w:sz="0" w:space="0" w:color="auto"/>
        <w:left w:val="none" w:sz="0" w:space="0" w:color="auto"/>
        <w:bottom w:val="none" w:sz="0" w:space="0" w:color="auto"/>
        <w:right w:val="none" w:sz="0" w:space="0" w:color="auto"/>
      </w:divBdr>
      <w:divsChild>
        <w:div w:id="237909050">
          <w:marLeft w:val="0"/>
          <w:marRight w:val="0"/>
          <w:marTop w:val="0"/>
          <w:marBottom w:val="0"/>
          <w:divBdr>
            <w:top w:val="none" w:sz="0" w:space="0" w:color="auto"/>
            <w:left w:val="none" w:sz="0" w:space="0" w:color="auto"/>
            <w:bottom w:val="none" w:sz="0" w:space="0" w:color="auto"/>
            <w:right w:val="none" w:sz="0" w:space="0" w:color="auto"/>
          </w:divBdr>
          <w:divsChild>
            <w:div w:id="1216232583">
              <w:marLeft w:val="0"/>
              <w:marRight w:val="0"/>
              <w:marTop w:val="0"/>
              <w:marBottom w:val="0"/>
              <w:divBdr>
                <w:top w:val="none" w:sz="0" w:space="0" w:color="auto"/>
                <w:left w:val="none" w:sz="0" w:space="0" w:color="auto"/>
                <w:bottom w:val="none" w:sz="0" w:space="0" w:color="auto"/>
                <w:right w:val="none" w:sz="0" w:space="0" w:color="auto"/>
              </w:divBdr>
              <w:divsChild>
                <w:div w:id="994533701">
                  <w:marLeft w:val="0"/>
                  <w:marRight w:val="0"/>
                  <w:marTop w:val="0"/>
                  <w:marBottom w:val="0"/>
                  <w:divBdr>
                    <w:top w:val="none" w:sz="0" w:space="0" w:color="auto"/>
                    <w:left w:val="none" w:sz="0" w:space="0" w:color="auto"/>
                    <w:bottom w:val="none" w:sz="0" w:space="0" w:color="auto"/>
                    <w:right w:val="none" w:sz="0" w:space="0" w:color="auto"/>
                  </w:divBdr>
                  <w:divsChild>
                    <w:div w:id="4459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326">
          <w:marLeft w:val="0"/>
          <w:marRight w:val="0"/>
          <w:marTop w:val="0"/>
          <w:marBottom w:val="0"/>
          <w:divBdr>
            <w:top w:val="none" w:sz="0" w:space="0" w:color="auto"/>
            <w:left w:val="none" w:sz="0" w:space="0" w:color="auto"/>
            <w:bottom w:val="none" w:sz="0" w:space="0" w:color="auto"/>
            <w:right w:val="none" w:sz="0" w:space="0" w:color="auto"/>
          </w:divBdr>
          <w:divsChild>
            <w:div w:id="1868369842">
              <w:marLeft w:val="0"/>
              <w:marRight w:val="0"/>
              <w:marTop w:val="0"/>
              <w:marBottom w:val="0"/>
              <w:divBdr>
                <w:top w:val="none" w:sz="0" w:space="0" w:color="auto"/>
                <w:left w:val="none" w:sz="0" w:space="0" w:color="auto"/>
                <w:bottom w:val="none" w:sz="0" w:space="0" w:color="auto"/>
                <w:right w:val="none" w:sz="0" w:space="0" w:color="auto"/>
              </w:divBdr>
              <w:divsChild>
                <w:div w:id="1526214068">
                  <w:marLeft w:val="0"/>
                  <w:marRight w:val="0"/>
                  <w:marTop w:val="0"/>
                  <w:marBottom w:val="0"/>
                  <w:divBdr>
                    <w:top w:val="none" w:sz="0" w:space="0" w:color="auto"/>
                    <w:left w:val="none" w:sz="0" w:space="0" w:color="auto"/>
                    <w:bottom w:val="none" w:sz="0" w:space="0" w:color="auto"/>
                    <w:right w:val="none" w:sz="0" w:space="0" w:color="auto"/>
                  </w:divBdr>
                  <w:divsChild>
                    <w:div w:id="8822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0e7fb8bf12941af1/Documents/ourwoldindata.com" TargetMode="External"/><Relationship Id="rId18" Type="http://schemas.openxmlformats.org/officeDocument/2006/relationships/hyperlink" Target="https://www.iea.org/reports/world-energy-investment-2023/overview-and-key-findings" TargetMode="External"/><Relationship Id="rId26" Type="http://schemas.openxmlformats.org/officeDocument/2006/relationships/hyperlink" Target="https://www.gov.uk/government/news/uks-path-to-net-zero-set-out-in-landmark-strategy" TargetMode="External"/><Relationship Id="rId39" Type="http://schemas.openxmlformats.org/officeDocument/2006/relationships/hyperlink" Target="https://pib.gov.in/PressReleaseIframePage.aspx?PRID=1992732" TargetMode="External"/><Relationship Id="rId21" Type="http://schemas.openxmlformats.org/officeDocument/2006/relationships/hyperlink" Target="https://www.weforum.org/agenda/2023/01/2022-renewable-energy-uk-electricity/" TargetMode="External"/><Relationship Id="rId34" Type="http://schemas.openxmlformats.org/officeDocument/2006/relationships/hyperlink" Target="https://www.iea.org/news/canada-s-bold-policies-and-support-for-innovation-can-underpin-a-successful-energy-transition-new-iea-policy-review-says" TargetMode="External"/><Relationship Id="rId42" Type="http://schemas.openxmlformats.org/officeDocument/2006/relationships/hyperlink" Target="https://asb.opec.org/data/ASB_Data.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europarl.europa.eu/factsheets/en/sheet/70/renewable-ener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0e7fb8bf12941af1/Documents/ourwoldindata.com" TargetMode="External"/><Relationship Id="rId24" Type="http://schemas.openxmlformats.org/officeDocument/2006/relationships/hyperlink" Target="https://www.doi.gov/pressreleases/biden-harris-administration-delivers-historic-milestones-new-actions-clean-energy" TargetMode="External"/><Relationship Id="rId32" Type="http://schemas.openxmlformats.org/officeDocument/2006/relationships/hyperlink" Target="https://www.canada.ca/en/natural-resources-canada/news/2024/06/minister-wilkinson-welcomes-the-canada-electricity-advisory-council-final-report-to-help-build-canadas-clean-electricity-future.html" TargetMode="External"/><Relationship Id="rId37" Type="http://schemas.openxmlformats.org/officeDocument/2006/relationships/hyperlink" Target="https://www.vision2030.gov.sa/en/projects/saudi-green-initiative/" TargetMode="External"/><Relationship Id="rId40" Type="http://schemas.openxmlformats.org/officeDocument/2006/relationships/hyperlink" Target="https://www.iea.org/reports/renewables-in-russi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whitehouse.gov/briefing-room/statements-releases/2024/03/11/fact-sheet-the-presidents-budget-creates-good-paying-clean-jobs-cuts-energy-costs-and-delivers-on-the-presidents-ambitious-climate-agenda/" TargetMode="External"/><Relationship Id="rId28" Type="http://schemas.openxmlformats.org/officeDocument/2006/relationships/hyperlink" Target="https://www.iea.org/countries/united-kingdom" TargetMode="External"/><Relationship Id="rId36" Type="http://schemas.openxmlformats.org/officeDocument/2006/relationships/hyperlink" Target="https://www.carbonbrief.org/analysis-clean-energy-was-top-driver-of-chinas-economic-growth-in-2023/" TargetMode="External"/><Relationship Id="rId10" Type="http://schemas.openxmlformats.org/officeDocument/2006/relationships/image" Target="media/image3.png"/><Relationship Id="rId19" Type="http://schemas.openxmlformats.org/officeDocument/2006/relationships/hyperlink" Target="https://www.pv-tech.org/bnef-report-us1-8-trillion-of-energy-transition-investment-in-2023-solar-oversupply-points-to-manufacturing-contraction/" TargetMode="External"/><Relationship Id="rId31" Type="http://schemas.openxmlformats.org/officeDocument/2006/relationships/hyperlink" Target="https://policyoptions.irpp.org/magazines/september-2023/canada-accelerate-transition-wind-solar/" TargetMode="External"/><Relationship Id="rId44" Type="http://schemas.openxmlformats.org/officeDocument/2006/relationships/hyperlink" Target="https://finance.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energy.gov/sites/default/files/2022-09/USG%20GCEAF%20FACTSHEET_final_1.pdf" TargetMode="External"/><Relationship Id="rId27" Type="http://schemas.openxmlformats.org/officeDocument/2006/relationships/hyperlink" Target="https://www.gov.uk/government/news/new-laws-passed-to-bolster-energy-security-and-deliver-net-zero" TargetMode="External"/><Relationship Id="rId30" Type="http://schemas.openxmlformats.org/officeDocument/2006/relationships/hyperlink" Target="https://commission.europa.eu/strategy-and-policy/priorities-2019-2024/european-green-deal/energy-and-green-deal_en" TargetMode="External"/><Relationship Id="rId35" Type="http://schemas.openxmlformats.org/officeDocument/2006/relationships/hyperlink" Target="https://ec.europa.eu/eurostat/statistics-explained/index.php?title=Oil_and_petroleum_products_-_a_statistical_overview" TargetMode="External"/><Relationship Id="rId43" Type="http://schemas.openxmlformats.org/officeDocument/2006/relationships/hyperlink" Target="https://d.docs.live.net/0e7fb8bf12941af1/Documents/ourwoldindata.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sb.opec.org/data/ASB_Data.php" TargetMode="External"/><Relationship Id="rId25" Type="http://schemas.openxmlformats.org/officeDocument/2006/relationships/hyperlink" Target="https://www.gov.uk/government/news/new-plans-to-make-uk-world-leader-in-green-energy" TargetMode="External"/><Relationship Id="rId33" Type="http://schemas.openxmlformats.org/officeDocument/2006/relationships/hyperlink" Target="https://www.cer-rec.gc.ca/en/data-analysis/canada-energy-future/2023/" TargetMode="External"/><Relationship Id="rId38" Type="http://schemas.openxmlformats.org/officeDocument/2006/relationships/hyperlink" Target="https://www.greeninitiatives.gov.sa/knowledge-hub/saudi-arabia-announces-300-increase-in-installed-renewables-capacity-439-million-trees-planted-since-launch-of-saudi-green-initiative/" TargetMode="External"/><Relationship Id="rId46" Type="http://schemas.openxmlformats.org/officeDocument/2006/relationships/theme" Target="theme/theme1.xml"/><Relationship Id="rId20" Type="http://schemas.openxmlformats.org/officeDocument/2006/relationships/hyperlink" Target="https://www.iea.org/reports/world-energy-investment-2023" TargetMode="External"/><Relationship Id="rId41" Type="http://schemas.openxmlformats.org/officeDocument/2006/relationships/hyperlink" Target="https://www.macrotrends.net/global-metrics/countries/USA/united-states/gdp-per-cap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2CA2172-9C80-405A-B0E8-CCF3AC15C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11</Pages>
  <Words>3059</Words>
  <Characters>17743</Characters>
  <Application>Microsoft Office Word</Application>
  <DocSecurity>0</DocSecurity>
  <Lines>377</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k</dc:creator>
  <cp:keywords/>
  <dc:description/>
  <cp:lastModifiedBy>brad k</cp:lastModifiedBy>
  <cp:revision>55</cp:revision>
  <dcterms:created xsi:type="dcterms:W3CDTF">2024-07-22T16:19:00Z</dcterms:created>
  <dcterms:modified xsi:type="dcterms:W3CDTF">2024-07-22T18:35:00Z</dcterms:modified>
</cp:coreProperties>
</file>